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5F4" w:rsidRPr="00F13DC9" w:rsidRDefault="00AE2352">
      <w:pPr>
        <w:pStyle w:val="a7"/>
        <w:suppressLineNumbers/>
        <w:spacing w:line="360" w:lineRule="auto"/>
        <w:rPr>
          <w:rFonts w:ascii="Times New Roman" w:hAnsi="Times New Roman" w:cs="Times New Roman"/>
          <w:b/>
          <w:sz w:val="24"/>
          <w:szCs w:val="24"/>
        </w:rPr>
      </w:pPr>
      <w:r w:rsidRPr="00F13DC9">
        <w:rPr>
          <w:rFonts w:ascii="Times New Roman" w:hAnsi="Times New Roman" w:cs="Times New Roman"/>
          <w:b/>
          <w:sz w:val="24"/>
          <w:szCs w:val="24"/>
        </w:rPr>
        <w:t>附件</w:t>
      </w:r>
      <w:r w:rsidR="00003896">
        <w:rPr>
          <w:rFonts w:ascii="Times New Roman" w:hAnsi="Times New Roman" w:cs="Times New Roman"/>
          <w:b/>
          <w:sz w:val="24"/>
          <w:szCs w:val="24"/>
        </w:rPr>
        <w:t>1</w:t>
      </w:r>
      <w:bookmarkStart w:id="0" w:name="_GoBack"/>
      <w:bookmarkEnd w:id="0"/>
      <w:r w:rsidRPr="00F13DC9">
        <w:rPr>
          <w:rFonts w:ascii="Times New Roman" w:hAnsi="Times New Roman" w:cs="Times New Roman"/>
          <w:b/>
          <w:sz w:val="24"/>
          <w:szCs w:val="24"/>
        </w:rPr>
        <w:t xml:space="preserve">-3  </w:t>
      </w:r>
      <w:r w:rsidRPr="00F13DC9">
        <w:rPr>
          <w:rFonts w:ascii="Times New Roman" w:hAnsi="Times New Roman" w:cs="Times New Roman"/>
          <w:b/>
          <w:sz w:val="24"/>
          <w:szCs w:val="24"/>
        </w:rPr>
        <w:t>药包材金属元素、金属离子测定法征求意见稿</w:t>
      </w:r>
    </w:p>
    <w:p w:rsidR="004035F4" w:rsidRPr="00F13DC9" w:rsidRDefault="004035F4">
      <w:pPr>
        <w:pStyle w:val="a7"/>
        <w:suppressLineNumbers/>
        <w:spacing w:line="360" w:lineRule="auto"/>
        <w:rPr>
          <w:rFonts w:ascii="Times New Roman" w:hAnsi="Times New Roman" w:cs="Times New Roman"/>
          <w:b/>
          <w:sz w:val="24"/>
          <w:szCs w:val="24"/>
        </w:rPr>
      </w:pPr>
    </w:p>
    <w:p w:rsidR="004035F4" w:rsidRPr="003C2FFD" w:rsidRDefault="00AE2352" w:rsidP="003C2FFD">
      <w:pPr>
        <w:adjustRightInd w:val="0"/>
        <w:snapToGrid w:val="0"/>
        <w:spacing w:line="360" w:lineRule="auto"/>
        <w:jc w:val="center"/>
        <w:outlineLvl w:val="0"/>
        <w:rPr>
          <w:b/>
          <w:bCs/>
          <w:sz w:val="36"/>
          <w:szCs w:val="36"/>
        </w:rPr>
      </w:pPr>
      <w:r w:rsidRPr="003C2FFD">
        <w:rPr>
          <w:b/>
          <w:bCs/>
          <w:sz w:val="36"/>
          <w:szCs w:val="36"/>
        </w:rPr>
        <w:t>4214</w:t>
      </w:r>
      <w:r w:rsidR="003C2FFD" w:rsidRPr="003C2FFD">
        <w:rPr>
          <w:b/>
          <w:bCs/>
          <w:sz w:val="36"/>
          <w:szCs w:val="36"/>
        </w:rPr>
        <w:t xml:space="preserve"> </w:t>
      </w:r>
      <w:r w:rsidRPr="003C2FFD">
        <w:rPr>
          <w:b/>
          <w:bCs/>
          <w:sz w:val="36"/>
          <w:szCs w:val="36"/>
        </w:rPr>
        <w:t>药包材金属元素、金属离子测定法</w:t>
      </w:r>
    </w:p>
    <w:p w:rsidR="004035F4" w:rsidRPr="00F13DC9" w:rsidRDefault="00AE2352" w:rsidP="003C2FFD">
      <w:pPr>
        <w:spacing w:line="360" w:lineRule="auto"/>
        <w:ind w:firstLineChars="200" w:firstLine="480"/>
        <w:rPr>
          <w:sz w:val="24"/>
          <w:szCs w:val="24"/>
        </w:rPr>
      </w:pPr>
      <w:r w:rsidRPr="00F13DC9">
        <w:rPr>
          <w:sz w:val="24"/>
          <w:szCs w:val="24"/>
        </w:rPr>
        <w:t>药包材金属元素</w:t>
      </w:r>
      <w:r w:rsidR="00256F07">
        <w:rPr>
          <w:rFonts w:hint="eastAsia"/>
          <w:sz w:val="24"/>
          <w:szCs w:val="24"/>
        </w:rPr>
        <w:t>、</w:t>
      </w:r>
      <w:r w:rsidRPr="00F13DC9">
        <w:rPr>
          <w:sz w:val="24"/>
          <w:szCs w:val="24"/>
        </w:rPr>
        <w:t>金属离子测定法，主要对塑料输液容器、玻璃及橡胶密封件在生产加工过程中因原料引入、工艺残留的有害金属元素及金属离子进行检测的方法。本方法主要对钡（</w:t>
      </w:r>
      <w:r w:rsidRPr="00F13DC9">
        <w:rPr>
          <w:sz w:val="24"/>
          <w:szCs w:val="24"/>
        </w:rPr>
        <w:t>Ba</w:t>
      </w:r>
      <w:r w:rsidRPr="00F13DC9">
        <w:rPr>
          <w:sz w:val="24"/>
          <w:szCs w:val="24"/>
        </w:rPr>
        <w:t>）、铜（</w:t>
      </w:r>
      <w:r w:rsidRPr="00F13DC9">
        <w:rPr>
          <w:sz w:val="24"/>
          <w:szCs w:val="24"/>
        </w:rPr>
        <w:t>Cu</w:t>
      </w:r>
      <w:r w:rsidRPr="00F13DC9">
        <w:rPr>
          <w:sz w:val="24"/>
          <w:szCs w:val="24"/>
        </w:rPr>
        <w:t>）、镉（</w:t>
      </w:r>
      <w:r w:rsidRPr="00F13DC9">
        <w:rPr>
          <w:sz w:val="24"/>
          <w:szCs w:val="24"/>
        </w:rPr>
        <w:t>Cd</w:t>
      </w:r>
      <w:r w:rsidRPr="00F13DC9">
        <w:rPr>
          <w:sz w:val="24"/>
          <w:szCs w:val="24"/>
        </w:rPr>
        <w:t>）、铅（</w:t>
      </w:r>
      <w:r w:rsidRPr="00F13DC9">
        <w:rPr>
          <w:sz w:val="24"/>
          <w:szCs w:val="24"/>
        </w:rPr>
        <w:t>Pb</w:t>
      </w:r>
      <w:r w:rsidRPr="00F13DC9">
        <w:rPr>
          <w:sz w:val="24"/>
          <w:szCs w:val="24"/>
        </w:rPr>
        <w:t>）、锡（</w:t>
      </w:r>
      <w:r w:rsidRPr="00F13DC9">
        <w:rPr>
          <w:sz w:val="24"/>
          <w:szCs w:val="24"/>
        </w:rPr>
        <w:t>Sn</w:t>
      </w:r>
      <w:r w:rsidRPr="00F13DC9">
        <w:rPr>
          <w:sz w:val="24"/>
          <w:szCs w:val="24"/>
        </w:rPr>
        <w:t>）、铬（</w:t>
      </w:r>
      <w:r w:rsidRPr="00F13DC9">
        <w:rPr>
          <w:sz w:val="24"/>
          <w:szCs w:val="24"/>
        </w:rPr>
        <w:t>Cr</w:t>
      </w:r>
      <w:r w:rsidRPr="00F13DC9">
        <w:rPr>
          <w:sz w:val="24"/>
          <w:szCs w:val="24"/>
        </w:rPr>
        <w:t>）、铝（</w:t>
      </w:r>
      <w:r w:rsidRPr="00F13DC9">
        <w:rPr>
          <w:sz w:val="24"/>
          <w:szCs w:val="24"/>
        </w:rPr>
        <w:t>Al</w:t>
      </w:r>
      <w:r w:rsidRPr="00F13DC9">
        <w:rPr>
          <w:sz w:val="24"/>
          <w:szCs w:val="24"/>
        </w:rPr>
        <w:t>）、砷（</w:t>
      </w:r>
      <w:r w:rsidRPr="00F13DC9">
        <w:rPr>
          <w:sz w:val="24"/>
          <w:szCs w:val="24"/>
        </w:rPr>
        <w:t>As</w:t>
      </w:r>
      <w:r w:rsidRPr="00F13DC9">
        <w:rPr>
          <w:sz w:val="24"/>
          <w:szCs w:val="24"/>
        </w:rPr>
        <w:t>）、锑（</w:t>
      </w:r>
      <w:r w:rsidRPr="00F13DC9">
        <w:rPr>
          <w:sz w:val="24"/>
          <w:szCs w:val="24"/>
        </w:rPr>
        <w:t>Sb</w:t>
      </w:r>
      <w:r w:rsidRPr="00F13DC9">
        <w:rPr>
          <w:sz w:val="24"/>
          <w:szCs w:val="24"/>
        </w:rPr>
        <w:t>）等元素进行考察，但不限于这些元素。根据各品种不同的工艺要求、产品特点，针对具体的金属元素、金属离子进行控制，保证产品质量和安全。</w:t>
      </w:r>
    </w:p>
    <w:p w:rsidR="004035F4" w:rsidRPr="003C2FFD" w:rsidRDefault="00AE2352" w:rsidP="003C2FFD">
      <w:pPr>
        <w:autoSpaceDE w:val="0"/>
        <w:autoSpaceDN w:val="0"/>
        <w:adjustRightInd w:val="0"/>
        <w:spacing w:line="360" w:lineRule="auto"/>
        <w:jc w:val="center"/>
        <w:rPr>
          <w:b/>
          <w:bCs/>
          <w:sz w:val="24"/>
          <w:szCs w:val="24"/>
        </w:rPr>
      </w:pPr>
      <w:r w:rsidRPr="003C2FFD">
        <w:rPr>
          <w:b/>
          <w:bCs/>
          <w:sz w:val="24"/>
          <w:szCs w:val="24"/>
        </w:rPr>
        <w:t>第</w:t>
      </w:r>
      <w:r w:rsidR="002C6D27">
        <w:rPr>
          <w:rFonts w:hint="eastAsia"/>
          <w:b/>
          <w:bCs/>
          <w:sz w:val="24"/>
          <w:szCs w:val="24"/>
        </w:rPr>
        <w:t>一</w:t>
      </w:r>
      <w:r w:rsidRPr="003C2FFD">
        <w:rPr>
          <w:b/>
          <w:bCs/>
          <w:sz w:val="24"/>
          <w:szCs w:val="24"/>
        </w:rPr>
        <w:t>部分</w:t>
      </w:r>
      <w:r w:rsidR="003C2FFD">
        <w:rPr>
          <w:b/>
          <w:bCs/>
          <w:sz w:val="24"/>
          <w:szCs w:val="24"/>
        </w:rPr>
        <w:t xml:space="preserve"> </w:t>
      </w:r>
      <w:r w:rsidRPr="003C2FFD">
        <w:rPr>
          <w:b/>
          <w:bCs/>
          <w:sz w:val="24"/>
          <w:szCs w:val="24"/>
        </w:rPr>
        <w:t>供试品溶液的制备</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第一类</w:t>
      </w:r>
      <w:r w:rsidR="002C6D27">
        <w:rPr>
          <w:b/>
          <w:bCs/>
          <w:sz w:val="24"/>
          <w:szCs w:val="24"/>
        </w:rPr>
        <w:t xml:space="preserve"> </w:t>
      </w:r>
      <w:r w:rsidRPr="00F13DC9">
        <w:rPr>
          <w:b/>
          <w:bCs/>
          <w:sz w:val="24"/>
          <w:szCs w:val="24"/>
        </w:rPr>
        <w:t>塑料输液容器</w:t>
      </w:r>
    </w:p>
    <w:p w:rsidR="004035F4" w:rsidRPr="00F13DC9" w:rsidRDefault="00AE2352" w:rsidP="003C2FFD">
      <w:pPr>
        <w:spacing w:line="360" w:lineRule="auto"/>
        <w:ind w:firstLineChars="200" w:firstLine="480"/>
        <w:rPr>
          <w:sz w:val="24"/>
          <w:szCs w:val="24"/>
        </w:rPr>
      </w:pPr>
      <w:r w:rsidRPr="00F13DC9">
        <w:rPr>
          <w:sz w:val="24"/>
          <w:szCs w:val="24"/>
        </w:rPr>
        <w:t>塑料输液容器应重点关注的金属元素、金属离子包括但不限于</w:t>
      </w:r>
      <w:r w:rsidRPr="00F13DC9">
        <w:rPr>
          <w:color w:val="000000"/>
          <w:sz w:val="24"/>
          <w:szCs w:val="24"/>
        </w:rPr>
        <w:t>钡、</w:t>
      </w:r>
      <w:r w:rsidRPr="00F13DC9">
        <w:rPr>
          <w:sz w:val="24"/>
          <w:szCs w:val="24"/>
        </w:rPr>
        <w:t>铜、镉、铅、锡、铬、</w:t>
      </w:r>
      <w:r w:rsidRPr="00F13DC9">
        <w:rPr>
          <w:color w:val="000000"/>
          <w:sz w:val="24"/>
          <w:szCs w:val="24"/>
        </w:rPr>
        <w:t>铝</w:t>
      </w:r>
      <w:r w:rsidRPr="00F13DC9">
        <w:rPr>
          <w:sz w:val="24"/>
          <w:szCs w:val="24"/>
        </w:rPr>
        <w:t>。</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1</w:t>
      </w:r>
      <w:r w:rsidR="002C6D27">
        <w:rPr>
          <w:rFonts w:hint="eastAsia"/>
          <w:b/>
          <w:bCs/>
          <w:sz w:val="24"/>
          <w:szCs w:val="24"/>
        </w:rPr>
        <w:t>.</w:t>
      </w:r>
      <w:r w:rsidR="002C6D27">
        <w:rPr>
          <w:b/>
          <w:bCs/>
          <w:sz w:val="24"/>
          <w:szCs w:val="24"/>
        </w:rPr>
        <w:t xml:space="preserve"> </w:t>
      </w:r>
      <w:r w:rsidR="002C6D27">
        <w:rPr>
          <w:b/>
          <w:bCs/>
          <w:sz w:val="24"/>
          <w:szCs w:val="24"/>
        </w:rPr>
        <w:t>金属元素</w:t>
      </w:r>
    </w:p>
    <w:p w:rsidR="002A0571" w:rsidRPr="002A0571" w:rsidRDefault="002C6D27" w:rsidP="002C6D27">
      <w:pPr>
        <w:widowControl/>
        <w:snapToGrid w:val="0"/>
        <w:spacing w:line="360" w:lineRule="auto"/>
        <w:ind w:firstLine="480"/>
        <w:rPr>
          <w:b/>
          <w:kern w:val="0"/>
          <w:sz w:val="24"/>
          <w:szCs w:val="24"/>
        </w:rPr>
      </w:pPr>
      <w:r w:rsidRPr="002A0571">
        <w:rPr>
          <w:b/>
          <w:kern w:val="0"/>
          <w:sz w:val="24"/>
          <w:szCs w:val="24"/>
        </w:rPr>
        <w:t>1.</w:t>
      </w:r>
      <w:r w:rsidR="00256F07">
        <w:rPr>
          <w:b/>
          <w:kern w:val="0"/>
          <w:sz w:val="24"/>
          <w:szCs w:val="24"/>
        </w:rPr>
        <w:t>1</w:t>
      </w:r>
      <w:r w:rsidRPr="002A0571">
        <w:rPr>
          <w:b/>
          <w:kern w:val="0"/>
          <w:sz w:val="24"/>
          <w:szCs w:val="24"/>
        </w:rPr>
        <w:t xml:space="preserve"> </w:t>
      </w:r>
      <w:r w:rsidR="00AE2352" w:rsidRPr="002A0571">
        <w:rPr>
          <w:b/>
          <w:kern w:val="0"/>
          <w:sz w:val="24"/>
          <w:szCs w:val="24"/>
        </w:rPr>
        <w:t>微波消解法</w:t>
      </w:r>
      <w:r w:rsidRPr="002A0571">
        <w:rPr>
          <w:rFonts w:hint="eastAsia"/>
          <w:b/>
          <w:kern w:val="0"/>
          <w:sz w:val="24"/>
          <w:szCs w:val="24"/>
        </w:rPr>
        <w:t xml:space="preserve"> </w:t>
      </w:r>
    </w:p>
    <w:p w:rsidR="00256F07" w:rsidRPr="00256F07" w:rsidRDefault="00AE2352" w:rsidP="00256F07">
      <w:pPr>
        <w:widowControl/>
        <w:snapToGrid w:val="0"/>
        <w:spacing w:line="360" w:lineRule="auto"/>
        <w:ind w:firstLine="480"/>
        <w:rPr>
          <w:color w:val="000000"/>
          <w:sz w:val="24"/>
          <w:szCs w:val="24"/>
        </w:rPr>
      </w:pPr>
      <w:r w:rsidRPr="00F13DC9">
        <w:rPr>
          <w:color w:val="000000"/>
          <w:sz w:val="24"/>
          <w:szCs w:val="24"/>
        </w:rPr>
        <w:t>将供试品剪成细小碎片，准确称取约</w:t>
      </w:r>
      <w:r w:rsidRPr="00F13DC9">
        <w:rPr>
          <w:color w:val="000000"/>
          <w:sz w:val="24"/>
          <w:szCs w:val="24"/>
        </w:rPr>
        <w:t>0.2g</w:t>
      </w:r>
      <w:r w:rsidRPr="00F13DC9">
        <w:rPr>
          <w:color w:val="000000"/>
          <w:sz w:val="24"/>
          <w:szCs w:val="24"/>
        </w:rPr>
        <w:t>，放入消解罐中（经</w:t>
      </w:r>
      <w:r w:rsidRPr="00F13DC9">
        <w:rPr>
          <w:color w:val="000000"/>
          <w:sz w:val="24"/>
          <w:szCs w:val="24"/>
        </w:rPr>
        <w:t>10%</w:t>
      </w:r>
      <w:r w:rsidRPr="00F13DC9">
        <w:rPr>
          <w:color w:val="000000"/>
          <w:sz w:val="24"/>
          <w:szCs w:val="24"/>
        </w:rPr>
        <w:t>硝酸浸泡过夜后清洗），加硝酸</w:t>
      </w:r>
      <w:r w:rsidRPr="00F13DC9">
        <w:rPr>
          <w:color w:val="000000"/>
          <w:sz w:val="24"/>
          <w:szCs w:val="24"/>
        </w:rPr>
        <w:t>6ml</w:t>
      </w:r>
      <w:r w:rsidRPr="00F13DC9">
        <w:rPr>
          <w:color w:val="000000"/>
          <w:sz w:val="24"/>
          <w:szCs w:val="24"/>
        </w:rPr>
        <w:t>和浓过氧化氢溶液（</w:t>
      </w:r>
      <w:r w:rsidRPr="00F13DC9">
        <w:rPr>
          <w:color w:val="000000"/>
          <w:sz w:val="24"/>
          <w:szCs w:val="24"/>
        </w:rPr>
        <w:t>30%</w:t>
      </w:r>
      <w:r w:rsidRPr="00F13DC9">
        <w:rPr>
          <w:color w:val="000000"/>
          <w:sz w:val="24"/>
          <w:szCs w:val="24"/>
        </w:rPr>
        <w:t>）</w:t>
      </w:r>
      <w:r w:rsidRPr="00F13DC9">
        <w:rPr>
          <w:color w:val="000000"/>
          <w:sz w:val="24"/>
          <w:szCs w:val="24"/>
        </w:rPr>
        <w:t>2ml</w:t>
      </w:r>
      <w:r w:rsidRPr="00F13DC9">
        <w:rPr>
          <w:color w:val="000000"/>
          <w:sz w:val="24"/>
          <w:szCs w:val="24"/>
        </w:rPr>
        <w:t>，旋紧消解罐，置微波消解仪中，使消解罐位置保持对称。静置过夜，推荐参照表</w:t>
      </w:r>
      <w:r w:rsidRPr="00F13DC9">
        <w:rPr>
          <w:color w:val="000000"/>
          <w:sz w:val="24"/>
          <w:szCs w:val="24"/>
        </w:rPr>
        <w:t>1</w:t>
      </w:r>
      <w:r w:rsidRPr="00F13DC9">
        <w:rPr>
          <w:color w:val="000000"/>
          <w:sz w:val="24"/>
          <w:szCs w:val="24"/>
        </w:rPr>
        <w:t>参数设置升温程序，进行微波消解（可根据不同品牌微波消解仪调整参数设置）。</w:t>
      </w:r>
    </w:p>
    <w:p w:rsidR="004035F4" w:rsidRPr="00F13DC9" w:rsidRDefault="00AE2352" w:rsidP="003C2FFD">
      <w:pPr>
        <w:spacing w:line="360" w:lineRule="auto"/>
        <w:jc w:val="center"/>
      </w:pPr>
      <w:r w:rsidRPr="00F13DC9">
        <w:t>表</w:t>
      </w:r>
      <w:r w:rsidRPr="00F13DC9">
        <w:t>1</w:t>
      </w:r>
      <w:r w:rsidRPr="00F13DC9">
        <w:t>微波消解程序</w:t>
      </w:r>
    </w:p>
    <w:tbl>
      <w:tblPr>
        <w:tblStyle w:val="11"/>
        <w:tblW w:w="7650" w:type="dxa"/>
        <w:jc w:val="center"/>
        <w:tblInd w:w="0" w:type="dxa"/>
        <w:tblLayout w:type="fixed"/>
        <w:tblCellMar>
          <w:left w:w="108" w:type="dxa"/>
          <w:right w:w="108" w:type="dxa"/>
        </w:tblCellMar>
        <w:tblLook w:val="04A0" w:firstRow="1" w:lastRow="0" w:firstColumn="1" w:lastColumn="0" w:noHBand="0" w:noVBand="1"/>
      </w:tblPr>
      <w:tblGrid>
        <w:gridCol w:w="749"/>
        <w:gridCol w:w="1231"/>
        <w:gridCol w:w="1009"/>
        <w:gridCol w:w="1117"/>
        <w:gridCol w:w="1095"/>
        <w:gridCol w:w="1315"/>
        <w:gridCol w:w="1134"/>
      </w:tblGrid>
      <w:tr w:rsidR="004035F4" w:rsidRPr="00F13DC9">
        <w:trPr>
          <w:trHeight w:val="525"/>
          <w:jc w:val="center"/>
        </w:trPr>
        <w:tc>
          <w:tcPr>
            <w:tcW w:w="749" w:type="dxa"/>
            <w:vMerge w:val="restart"/>
            <w:vAlign w:val="center"/>
          </w:tcPr>
          <w:p w:rsidR="004035F4" w:rsidRPr="00F13DC9" w:rsidRDefault="00AE2352" w:rsidP="003C2FFD">
            <w:pPr>
              <w:spacing w:line="360" w:lineRule="auto"/>
              <w:jc w:val="center"/>
              <w:rPr>
                <w:kern w:val="0"/>
              </w:rPr>
            </w:pPr>
            <w:r w:rsidRPr="00F13DC9">
              <w:rPr>
                <w:kern w:val="0"/>
              </w:rPr>
              <w:t>步骤</w:t>
            </w:r>
          </w:p>
        </w:tc>
        <w:tc>
          <w:tcPr>
            <w:tcW w:w="2240" w:type="dxa"/>
            <w:gridSpan w:val="2"/>
            <w:tcBorders>
              <w:bottom w:val="single" w:sz="4" w:space="0" w:color="auto"/>
            </w:tcBorders>
            <w:vAlign w:val="center"/>
          </w:tcPr>
          <w:p w:rsidR="004035F4" w:rsidRPr="00F13DC9" w:rsidRDefault="00AE2352" w:rsidP="003C2FFD">
            <w:pPr>
              <w:spacing w:line="360" w:lineRule="auto"/>
              <w:jc w:val="center"/>
              <w:rPr>
                <w:kern w:val="0"/>
              </w:rPr>
            </w:pPr>
            <w:r w:rsidRPr="00F13DC9">
              <w:rPr>
                <w:kern w:val="0"/>
              </w:rPr>
              <w:t>功率</w:t>
            </w:r>
          </w:p>
        </w:tc>
        <w:tc>
          <w:tcPr>
            <w:tcW w:w="1117" w:type="dxa"/>
            <w:vMerge w:val="restart"/>
            <w:vAlign w:val="center"/>
          </w:tcPr>
          <w:p w:rsidR="004035F4" w:rsidRPr="00256F07" w:rsidRDefault="00AE2352" w:rsidP="00256F07">
            <w:pPr>
              <w:spacing w:line="360" w:lineRule="auto"/>
              <w:jc w:val="center"/>
              <w:rPr>
                <w:kern w:val="0"/>
              </w:rPr>
            </w:pPr>
            <w:r w:rsidRPr="00F13DC9">
              <w:rPr>
                <w:kern w:val="0"/>
              </w:rPr>
              <w:t>设置温度（</w:t>
            </w:r>
            <w:r w:rsidRPr="00F13DC9">
              <w:rPr>
                <w:rFonts w:ascii="宋体" w:hAnsi="宋体" w:cs="宋体" w:hint="eastAsia"/>
                <w:kern w:val="0"/>
              </w:rPr>
              <w:t>℃</w:t>
            </w:r>
            <w:r w:rsidRPr="00F13DC9">
              <w:rPr>
                <w:kern w:val="0"/>
              </w:rPr>
              <w:t>）</w:t>
            </w:r>
          </w:p>
        </w:tc>
        <w:tc>
          <w:tcPr>
            <w:tcW w:w="1095" w:type="dxa"/>
            <w:vMerge w:val="restart"/>
            <w:vAlign w:val="center"/>
          </w:tcPr>
          <w:p w:rsidR="004035F4" w:rsidRPr="00F13DC9" w:rsidRDefault="00AE2352" w:rsidP="003C2FFD">
            <w:pPr>
              <w:spacing w:line="360" w:lineRule="auto"/>
              <w:jc w:val="center"/>
              <w:rPr>
                <w:kern w:val="0"/>
              </w:rPr>
            </w:pPr>
            <w:r w:rsidRPr="00F13DC9">
              <w:rPr>
                <w:kern w:val="0"/>
              </w:rPr>
              <w:t>爬坡</w:t>
            </w:r>
          </w:p>
          <w:p w:rsidR="004035F4" w:rsidRPr="00F13DC9" w:rsidRDefault="00AE2352" w:rsidP="003C2FFD">
            <w:pPr>
              <w:spacing w:line="360" w:lineRule="auto"/>
              <w:jc w:val="center"/>
              <w:rPr>
                <w:kern w:val="0"/>
              </w:rPr>
            </w:pPr>
            <w:r w:rsidRPr="00F13DC9">
              <w:rPr>
                <w:kern w:val="0"/>
              </w:rPr>
              <w:t>（分钟）</w:t>
            </w:r>
          </w:p>
        </w:tc>
        <w:tc>
          <w:tcPr>
            <w:tcW w:w="1315" w:type="dxa"/>
            <w:vMerge w:val="restart"/>
            <w:vAlign w:val="center"/>
          </w:tcPr>
          <w:p w:rsidR="004035F4" w:rsidRPr="00F13DC9" w:rsidRDefault="00AE2352" w:rsidP="003C2FFD">
            <w:pPr>
              <w:spacing w:line="360" w:lineRule="auto"/>
              <w:jc w:val="center"/>
              <w:rPr>
                <w:kern w:val="0"/>
              </w:rPr>
            </w:pPr>
            <w:r w:rsidRPr="00F13DC9">
              <w:rPr>
                <w:kern w:val="0"/>
              </w:rPr>
              <w:t>保持时间（分钟）</w:t>
            </w:r>
          </w:p>
        </w:tc>
        <w:tc>
          <w:tcPr>
            <w:tcW w:w="1134" w:type="dxa"/>
            <w:vMerge w:val="restart"/>
            <w:vAlign w:val="center"/>
          </w:tcPr>
          <w:p w:rsidR="004035F4" w:rsidRPr="00F13DC9" w:rsidRDefault="00AE2352" w:rsidP="003C2FFD">
            <w:pPr>
              <w:spacing w:line="360" w:lineRule="auto"/>
              <w:jc w:val="center"/>
              <w:rPr>
                <w:kern w:val="0"/>
              </w:rPr>
            </w:pPr>
            <w:r w:rsidRPr="00F13DC9">
              <w:rPr>
                <w:kern w:val="0"/>
              </w:rPr>
              <w:t>限定压力（</w:t>
            </w:r>
            <w:r w:rsidRPr="00F13DC9">
              <w:rPr>
                <w:kern w:val="0"/>
              </w:rPr>
              <w:t>PSI</w:t>
            </w:r>
            <w:r w:rsidRPr="00F13DC9">
              <w:rPr>
                <w:kern w:val="0"/>
              </w:rPr>
              <w:t>）</w:t>
            </w:r>
          </w:p>
        </w:tc>
      </w:tr>
      <w:tr w:rsidR="004035F4" w:rsidRPr="00F13DC9">
        <w:trPr>
          <w:trHeight w:val="396"/>
          <w:jc w:val="center"/>
        </w:trPr>
        <w:tc>
          <w:tcPr>
            <w:tcW w:w="749" w:type="dxa"/>
            <w:vMerge/>
            <w:vAlign w:val="center"/>
          </w:tcPr>
          <w:p w:rsidR="004035F4" w:rsidRPr="00F13DC9" w:rsidRDefault="004035F4" w:rsidP="003C2FFD">
            <w:pPr>
              <w:keepNext/>
              <w:keepLines/>
              <w:spacing w:line="360" w:lineRule="auto"/>
              <w:jc w:val="center"/>
              <w:outlineLvl w:val="0"/>
              <w:rPr>
                <w:kern w:val="0"/>
              </w:rPr>
            </w:pPr>
          </w:p>
        </w:tc>
        <w:tc>
          <w:tcPr>
            <w:tcW w:w="1231" w:type="dxa"/>
            <w:tcBorders>
              <w:top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最大功率（</w:t>
            </w:r>
            <w:r w:rsidRPr="00F13DC9">
              <w:rPr>
                <w:kern w:val="0"/>
              </w:rPr>
              <w:t>W</w:t>
            </w:r>
            <w:r w:rsidRPr="00F13DC9">
              <w:rPr>
                <w:kern w:val="0"/>
              </w:rPr>
              <w:t>）</w:t>
            </w:r>
          </w:p>
        </w:tc>
        <w:tc>
          <w:tcPr>
            <w:tcW w:w="1009" w:type="dxa"/>
            <w:tcBorders>
              <w:top w:val="single" w:sz="4" w:space="0" w:color="auto"/>
              <w:left w:val="single" w:sz="4" w:space="0" w:color="auto"/>
            </w:tcBorders>
            <w:vAlign w:val="center"/>
          </w:tcPr>
          <w:p w:rsidR="004035F4" w:rsidRPr="00F13DC9" w:rsidRDefault="00AE2352" w:rsidP="003C2FFD">
            <w:pPr>
              <w:spacing w:line="360" w:lineRule="auto"/>
              <w:jc w:val="center"/>
              <w:rPr>
                <w:kern w:val="0"/>
              </w:rPr>
            </w:pPr>
            <w:r w:rsidRPr="00F13DC9">
              <w:rPr>
                <w:kern w:val="0"/>
              </w:rPr>
              <w:t>使用（</w:t>
            </w:r>
            <w:r w:rsidRPr="00F13DC9">
              <w:rPr>
                <w:kern w:val="0"/>
              </w:rPr>
              <w:t>%</w:t>
            </w:r>
            <w:r w:rsidRPr="00F13DC9">
              <w:rPr>
                <w:kern w:val="0"/>
              </w:rPr>
              <w:t>）</w:t>
            </w:r>
          </w:p>
        </w:tc>
        <w:tc>
          <w:tcPr>
            <w:tcW w:w="1117" w:type="dxa"/>
            <w:vMerge/>
            <w:vAlign w:val="center"/>
          </w:tcPr>
          <w:p w:rsidR="004035F4" w:rsidRPr="00F13DC9" w:rsidRDefault="004035F4" w:rsidP="003C2FFD">
            <w:pPr>
              <w:keepNext/>
              <w:keepLines/>
              <w:spacing w:line="360" w:lineRule="auto"/>
              <w:jc w:val="center"/>
              <w:outlineLvl w:val="0"/>
              <w:rPr>
                <w:kern w:val="0"/>
              </w:rPr>
            </w:pPr>
          </w:p>
        </w:tc>
        <w:tc>
          <w:tcPr>
            <w:tcW w:w="1095" w:type="dxa"/>
            <w:vMerge/>
            <w:vAlign w:val="center"/>
          </w:tcPr>
          <w:p w:rsidR="004035F4" w:rsidRPr="00F13DC9" w:rsidRDefault="004035F4" w:rsidP="003C2FFD">
            <w:pPr>
              <w:keepNext/>
              <w:keepLines/>
              <w:spacing w:line="360" w:lineRule="auto"/>
              <w:jc w:val="center"/>
              <w:outlineLvl w:val="0"/>
              <w:rPr>
                <w:kern w:val="0"/>
              </w:rPr>
            </w:pPr>
          </w:p>
        </w:tc>
        <w:tc>
          <w:tcPr>
            <w:tcW w:w="1315" w:type="dxa"/>
            <w:vMerge/>
            <w:vAlign w:val="center"/>
          </w:tcPr>
          <w:p w:rsidR="004035F4" w:rsidRPr="00F13DC9" w:rsidRDefault="004035F4" w:rsidP="003C2FFD">
            <w:pPr>
              <w:keepNext/>
              <w:keepLines/>
              <w:spacing w:line="360" w:lineRule="auto"/>
              <w:jc w:val="center"/>
              <w:outlineLvl w:val="0"/>
              <w:rPr>
                <w:kern w:val="0"/>
              </w:rPr>
            </w:pPr>
          </w:p>
        </w:tc>
        <w:tc>
          <w:tcPr>
            <w:tcW w:w="1134" w:type="dxa"/>
            <w:vMerge/>
            <w:vAlign w:val="center"/>
          </w:tcPr>
          <w:p w:rsidR="004035F4" w:rsidRPr="00F13DC9" w:rsidRDefault="004035F4" w:rsidP="003C2FFD">
            <w:pPr>
              <w:keepNext/>
              <w:keepLines/>
              <w:spacing w:line="360" w:lineRule="auto"/>
              <w:jc w:val="center"/>
              <w:outlineLvl w:val="0"/>
              <w:rPr>
                <w:kern w:val="0"/>
              </w:rPr>
            </w:pPr>
          </w:p>
        </w:tc>
      </w:tr>
      <w:tr w:rsidR="004035F4" w:rsidRPr="00F13DC9">
        <w:trPr>
          <w:jc w:val="center"/>
        </w:trPr>
        <w:tc>
          <w:tcPr>
            <w:tcW w:w="749" w:type="dxa"/>
            <w:vAlign w:val="center"/>
          </w:tcPr>
          <w:p w:rsidR="004035F4" w:rsidRPr="00F13DC9" w:rsidRDefault="00AE2352" w:rsidP="003C2FFD">
            <w:pPr>
              <w:spacing w:line="360" w:lineRule="auto"/>
              <w:jc w:val="center"/>
              <w:rPr>
                <w:kern w:val="0"/>
              </w:rPr>
            </w:pPr>
            <w:r w:rsidRPr="00F13DC9">
              <w:rPr>
                <w:kern w:val="0"/>
              </w:rPr>
              <w:t>1</w:t>
            </w:r>
          </w:p>
        </w:tc>
        <w:tc>
          <w:tcPr>
            <w:tcW w:w="1231" w:type="dxa"/>
            <w:tcBorders>
              <w:right w:val="single" w:sz="4" w:space="0" w:color="auto"/>
            </w:tcBorders>
            <w:vAlign w:val="center"/>
          </w:tcPr>
          <w:p w:rsidR="004035F4" w:rsidRPr="00F13DC9" w:rsidRDefault="00AE2352" w:rsidP="003C2FFD">
            <w:pPr>
              <w:spacing w:line="360" w:lineRule="auto"/>
              <w:jc w:val="center"/>
              <w:rPr>
                <w:kern w:val="0"/>
              </w:rPr>
            </w:pPr>
            <w:r w:rsidRPr="00F13DC9">
              <w:rPr>
                <w:kern w:val="0"/>
              </w:rPr>
              <w:t>800</w:t>
            </w:r>
          </w:p>
        </w:tc>
        <w:tc>
          <w:tcPr>
            <w:tcW w:w="1009" w:type="dxa"/>
            <w:tcBorders>
              <w:left w:val="single" w:sz="4" w:space="0" w:color="auto"/>
            </w:tcBorders>
            <w:vAlign w:val="center"/>
          </w:tcPr>
          <w:p w:rsidR="004035F4" w:rsidRPr="00F13DC9" w:rsidRDefault="00AE2352" w:rsidP="003C2FFD">
            <w:pPr>
              <w:spacing w:line="360" w:lineRule="auto"/>
              <w:jc w:val="center"/>
              <w:rPr>
                <w:kern w:val="0"/>
              </w:rPr>
            </w:pPr>
            <w:r w:rsidRPr="00F13DC9">
              <w:rPr>
                <w:kern w:val="0"/>
              </w:rPr>
              <w:t>100</w:t>
            </w:r>
          </w:p>
        </w:tc>
        <w:tc>
          <w:tcPr>
            <w:tcW w:w="1117" w:type="dxa"/>
            <w:vAlign w:val="center"/>
          </w:tcPr>
          <w:p w:rsidR="004035F4" w:rsidRPr="00F13DC9" w:rsidRDefault="00AE2352" w:rsidP="003C2FFD">
            <w:pPr>
              <w:spacing w:line="360" w:lineRule="auto"/>
              <w:jc w:val="center"/>
              <w:rPr>
                <w:kern w:val="0"/>
              </w:rPr>
            </w:pPr>
            <w:r w:rsidRPr="00F13DC9">
              <w:rPr>
                <w:kern w:val="0"/>
              </w:rPr>
              <w:t>120</w:t>
            </w:r>
          </w:p>
        </w:tc>
        <w:tc>
          <w:tcPr>
            <w:tcW w:w="1095" w:type="dxa"/>
            <w:vAlign w:val="center"/>
          </w:tcPr>
          <w:p w:rsidR="004035F4" w:rsidRPr="00F13DC9" w:rsidRDefault="00AE2352" w:rsidP="003C2FFD">
            <w:pPr>
              <w:spacing w:line="360" w:lineRule="auto"/>
              <w:jc w:val="center"/>
              <w:rPr>
                <w:kern w:val="0"/>
              </w:rPr>
            </w:pPr>
            <w:r w:rsidRPr="00F13DC9">
              <w:rPr>
                <w:kern w:val="0"/>
              </w:rPr>
              <w:t>5</w:t>
            </w:r>
          </w:p>
        </w:tc>
        <w:tc>
          <w:tcPr>
            <w:tcW w:w="1315" w:type="dxa"/>
            <w:vAlign w:val="center"/>
          </w:tcPr>
          <w:p w:rsidR="004035F4" w:rsidRPr="00F13DC9" w:rsidRDefault="00AE2352" w:rsidP="003C2FFD">
            <w:pPr>
              <w:spacing w:line="360" w:lineRule="auto"/>
              <w:jc w:val="center"/>
              <w:rPr>
                <w:kern w:val="0"/>
              </w:rPr>
            </w:pPr>
            <w:r w:rsidRPr="00F13DC9">
              <w:rPr>
                <w:kern w:val="0"/>
              </w:rPr>
              <w:t>3</w:t>
            </w:r>
          </w:p>
        </w:tc>
        <w:tc>
          <w:tcPr>
            <w:tcW w:w="1134" w:type="dxa"/>
            <w:vAlign w:val="center"/>
          </w:tcPr>
          <w:p w:rsidR="004035F4" w:rsidRPr="00F13DC9" w:rsidRDefault="00AE2352" w:rsidP="003C2FFD">
            <w:pPr>
              <w:spacing w:line="360" w:lineRule="auto"/>
              <w:jc w:val="center"/>
              <w:rPr>
                <w:kern w:val="0"/>
              </w:rPr>
            </w:pPr>
            <w:r w:rsidRPr="00F13DC9">
              <w:rPr>
                <w:kern w:val="0"/>
              </w:rPr>
              <w:t>800</w:t>
            </w:r>
          </w:p>
        </w:tc>
      </w:tr>
      <w:tr w:rsidR="004035F4" w:rsidRPr="00F13DC9">
        <w:trPr>
          <w:jc w:val="center"/>
        </w:trPr>
        <w:tc>
          <w:tcPr>
            <w:tcW w:w="749" w:type="dxa"/>
            <w:vAlign w:val="center"/>
          </w:tcPr>
          <w:p w:rsidR="004035F4" w:rsidRPr="00F13DC9" w:rsidRDefault="00AE2352" w:rsidP="003C2FFD">
            <w:pPr>
              <w:spacing w:line="360" w:lineRule="auto"/>
              <w:jc w:val="center"/>
              <w:rPr>
                <w:kern w:val="0"/>
              </w:rPr>
            </w:pPr>
            <w:r w:rsidRPr="00F13DC9">
              <w:rPr>
                <w:kern w:val="0"/>
              </w:rPr>
              <w:t>2</w:t>
            </w:r>
          </w:p>
        </w:tc>
        <w:tc>
          <w:tcPr>
            <w:tcW w:w="1231" w:type="dxa"/>
            <w:tcBorders>
              <w:right w:val="single" w:sz="4" w:space="0" w:color="auto"/>
            </w:tcBorders>
            <w:vAlign w:val="center"/>
          </w:tcPr>
          <w:p w:rsidR="004035F4" w:rsidRPr="00F13DC9" w:rsidRDefault="00AE2352" w:rsidP="003C2FFD">
            <w:pPr>
              <w:spacing w:line="360" w:lineRule="auto"/>
              <w:jc w:val="center"/>
              <w:rPr>
                <w:kern w:val="0"/>
              </w:rPr>
            </w:pPr>
            <w:r w:rsidRPr="00F13DC9">
              <w:rPr>
                <w:kern w:val="0"/>
              </w:rPr>
              <w:t>800</w:t>
            </w:r>
          </w:p>
        </w:tc>
        <w:tc>
          <w:tcPr>
            <w:tcW w:w="1009" w:type="dxa"/>
            <w:tcBorders>
              <w:left w:val="single" w:sz="4" w:space="0" w:color="auto"/>
            </w:tcBorders>
            <w:vAlign w:val="center"/>
          </w:tcPr>
          <w:p w:rsidR="004035F4" w:rsidRPr="00F13DC9" w:rsidRDefault="00AE2352" w:rsidP="003C2FFD">
            <w:pPr>
              <w:spacing w:line="360" w:lineRule="auto"/>
              <w:jc w:val="center"/>
              <w:rPr>
                <w:kern w:val="0"/>
              </w:rPr>
            </w:pPr>
            <w:r w:rsidRPr="00F13DC9">
              <w:rPr>
                <w:kern w:val="0"/>
              </w:rPr>
              <w:t>100</w:t>
            </w:r>
          </w:p>
        </w:tc>
        <w:tc>
          <w:tcPr>
            <w:tcW w:w="1117" w:type="dxa"/>
            <w:vAlign w:val="center"/>
          </w:tcPr>
          <w:p w:rsidR="004035F4" w:rsidRPr="00F13DC9" w:rsidRDefault="00AE2352" w:rsidP="003C2FFD">
            <w:pPr>
              <w:spacing w:line="360" w:lineRule="auto"/>
              <w:jc w:val="center"/>
              <w:rPr>
                <w:kern w:val="0"/>
              </w:rPr>
            </w:pPr>
            <w:r w:rsidRPr="00F13DC9">
              <w:rPr>
                <w:kern w:val="0"/>
              </w:rPr>
              <w:t>150</w:t>
            </w:r>
          </w:p>
        </w:tc>
        <w:tc>
          <w:tcPr>
            <w:tcW w:w="1095" w:type="dxa"/>
            <w:vAlign w:val="center"/>
          </w:tcPr>
          <w:p w:rsidR="004035F4" w:rsidRPr="00F13DC9" w:rsidRDefault="00AE2352" w:rsidP="003C2FFD">
            <w:pPr>
              <w:spacing w:line="360" w:lineRule="auto"/>
              <w:jc w:val="center"/>
              <w:rPr>
                <w:kern w:val="0"/>
              </w:rPr>
            </w:pPr>
            <w:r w:rsidRPr="00F13DC9">
              <w:rPr>
                <w:kern w:val="0"/>
              </w:rPr>
              <w:t>8</w:t>
            </w:r>
          </w:p>
        </w:tc>
        <w:tc>
          <w:tcPr>
            <w:tcW w:w="1315" w:type="dxa"/>
            <w:vAlign w:val="center"/>
          </w:tcPr>
          <w:p w:rsidR="004035F4" w:rsidRPr="00F13DC9" w:rsidRDefault="00AE2352" w:rsidP="003C2FFD">
            <w:pPr>
              <w:spacing w:line="360" w:lineRule="auto"/>
              <w:jc w:val="center"/>
              <w:rPr>
                <w:kern w:val="0"/>
              </w:rPr>
            </w:pPr>
            <w:r w:rsidRPr="00F13DC9">
              <w:rPr>
                <w:kern w:val="0"/>
              </w:rPr>
              <w:t>5</w:t>
            </w:r>
          </w:p>
        </w:tc>
        <w:tc>
          <w:tcPr>
            <w:tcW w:w="1134" w:type="dxa"/>
            <w:vAlign w:val="center"/>
          </w:tcPr>
          <w:p w:rsidR="004035F4" w:rsidRPr="00F13DC9" w:rsidRDefault="00AE2352" w:rsidP="003C2FFD">
            <w:pPr>
              <w:spacing w:line="360" w:lineRule="auto"/>
              <w:jc w:val="center"/>
              <w:rPr>
                <w:kern w:val="0"/>
              </w:rPr>
            </w:pPr>
            <w:r w:rsidRPr="00F13DC9">
              <w:rPr>
                <w:kern w:val="0"/>
              </w:rPr>
              <w:t>800</w:t>
            </w:r>
          </w:p>
        </w:tc>
      </w:tr>
      <w:tr w:rsidR="004035F4" w:rsidRPr="00F13DC9">
        <w:trPr>
          <w:jc w:val="center"/>
        </w:trPr>
        <w:tc>
          <w:tcPr>
            <w:tcW w:w="749" w:type="dxa"/>
            <w:vAlign w:val="center"/>
          </w:tcPr>
          <w:p w:rsidR="004035F4" w:rsidRPr="00F13DC9" w:rsidRDefault="00AE2352" w:rsidP="003C2FFD">
            <w:pPr>
              <w:spacing w:line="360" w:lineRule="auto"/>
              <w:jc w:val="center"/>
              <w:rPr>
                <w:kern w:val="0"/>
              </w:rPr>
            </w:pPr>
            <w:r w:rsidRPr="00F13DC9">
              <w:rPr>
                <w:kern w:val="0"/>
              </w:rPr>
              <w:t>3</w:t>
            </w:r>
          </w:p>
        </w:tc>
        <w:tc>
          <w:tcPr>
            <w:tcW w:w="1231" w:type="dxa"/>
            <w:tcBorders>
              <w:right w:val="single" w:sz="4" w:space="0" w:color="auto"/>
            </w:tcBorders>
            <w:vAlign w:val="center"/>
          </w:tcPr>
          <w:p w:rsidR="004035F4" w:rsidRPr="00F13DC9" w:rsidRDefault="00AE2352" w:rsidP="003C2FFD">
            <w:pPr>
              <w:spacing w:line="360" w:lineRule="auto"/>
              <w:jc w:val="center"/>
              <w:rPr>
                <w:kern w:val="0"/>
              </w:rPr>
            </w:pPr>
            <w:r w:rsidRPr="00F13DC9">
              <w:rPr>
                <w:kern w:val="0"/>
              </w:rPr>
              <w:t>1600</w:t>
            </w:r>
          </w:p>
        </w:tc>
        <w:tc>
          <w:tcPr>
            <w:tcW w:w="1009" w:type="dxa"/>
            <w:tcBorders>
              <w:left w:val="single" w:sz="4" w:space="0" w:color="auto"/>
            </w:tcBorders>
            <w:vAlign w:val="center"/>
          </w:tcPr>
          <w:p w:rsidR="004035F4" w:rsidRPr="00F13DC9" w:rsidRDefault="00AE2352" w:rsidP="003C2FFD">
            <w:pPr>
              <w:spacing w:line="360" w:lineRule="auto"/>
              <w:jc w:val="center"/>
              <w:rPr>
                <w:kern w:val="0"/>
              </w:rPr>
            </w:pPr>
            <w:r w:rsidRPr="00F13DC9">
              <w:rPr>
                <w:kern w:val="0"/>
              </w:rPr>
              <w:t>100</w:t>
            </w:r>
          </w:p>
        </w:tc>
        <w:tc>
          <w:tcPr>
            <w:tcW w:w="1117" w:type="dxa"/>
            <w:vAlign w:val="center"/>
          </w:tcPr>
          <w:p w:rsidR="004035F4" w:rsidRPr="00F13DC9" w:rsidRDefault="00AE2352" w:rsidP="003C2FFD">
            <w:pPr>
              <w:spacing w:line="360" w:lineRule="auto"/>
              <w:jc w:val="center"/>
              <w:rPr>
                <w:kern w:val="0"/>
              </w:rPr>
            </w:pPr>
            <w:r w:rsidRPr="00F13DC9">
              <w:rPr>
                <w:kern w:val="0"/>
              </w:rPr>
              <w:t>190</w:t>
            </w:r>
          </w:p>
        </w:tc>
        <w:tc>
          <w:tcPr>
            <w:tcW w:w="1095" w:type="dxa"/>
            <w:vAlign w:val="center"/>
          </w:tcPr>
          <w:p w:rsidR="004035F4" w:rsidRPr="00F13DC9" w:rsidRDefault="00AE2352" w:rsidP="003C2FFD">
            <w:pPr>
              <w:spacing w:line="360" w:lineRule="auto"/>
              <w:jc w:val="center"/>
              <w:rPr>
                <w:kern w:val="0"/>
              </w:rPr>
            </w:pPr>
            <w:r w:rsidRPr="00F13DC9">
              <w:rPr>
                <w:kern w:val="0"/>
              </w:rPr>
              <w:t>10</w:t>
            </w:r>
          </w:p>
        </w:tc>
        <w:tc>
          <w:tcPr>
            <w:tcW w:w="1315" w:type="dxa"/>
            <w:vAlign w:val="center"/>
          </w:tcPr>
          <w:p w:rsidR="004035F4" w:rsidRPr="00F13DC9" w:rsidRDefault="00AE2352" w:rsidP="003C2FFD">
            <w:pPr>
              <w:spacing w:line="360" w:lineRule="auto"/>
              <w:jc w:val="center"/>
              <w:rPr>
                <w:kern w:val="0"/>
              </w:rPr>
            </w:pPr>
            <w:r w:rsidRPr="00F13DC9">
              <w:rPr>
                <w:kern w:val="0"/>
              </w:rPr>
              <w:t>30</w:t>
            </w:r>
          </w:p>
        </w:tc>
        <w:tc>
          <w:tcPr>
            <w:tcW w:w="1134" w:type="dxa"/>
            <w:vAlign w:val="center"/>
          </w:tcPr>
          <w:p w:rsidR="004035F4" w:rsidRPr="00F13DC9" w:rsidRDefault="00AE2352" w:rsidP="003C2FFD">
            <w:pPr>
              <w:spacing w:line="360" w:lineRule="auto"/>
              <w:jc w:val="center"/>
              <w:rPr>
                <w:kern w:val="0"/>
              </w:rPr>
            </w:pPr>
            <w:r w:rsidRPr="00F13DC9">
              <w:rPr>
                <w:kern w:val="0"/>
              </w:rPr>
              <w:t>800</w:t>
            </w:r>
          </w:p>
        </w:tc>
      </w:tr>
    </w:tbl>
    <w:p w:rsidR="004035F4" w:rsidRPr="00F13DC9" w:rsidRDefault="00AE2352" w:rsidP="003C2FFD">
      <w:pPr>
        <w:spacing w:line="360" w:lineRule="auto"/>
        <w:ind w:firstLineChars="200" w:firstLine="480"/>
        <w:rPr>
          <w:sz w:val="24"/>
          <w:szCs w:val="24"/>
        </w:rPr>
      </w:pPr>
      <w:r w:rsidRPr="00F13DC9">
        <w:rPr>
          <w:sz w:val="24"/>
          <w:szCs w:val="24"/>
        </w:rPr>
        <w:t>消解完成后，消解液应澄清，将消解液赶酸至约</w:t>
      </w:r>
      <w:r w:rsidRPr="00F13DC9">
        <w:rPr>
          <w:sz w:val="24"/>
          <w:szCs w:val="24"/>
        </w:rPr>
        <w:t>1ml</w:t>
      </w:r>
      <w:r w:rsidRPr="00F13DC9">
        <w:rPr>
          <w:sz w:val="24"/>
          <w:szCs w:val="24"/>
        </w:rPr>
        <w:t>。用超纯水将消解液转移</w:t>
      </w:r>
      <w:r w:rsidRPr="00F13DC9">
        <w:rPr>
          <w:kern w:val="0"/>
          <w:sz w:val="24"/>
          <w:szCs w:val="24"/>
        </w:rPr>
        <w:t>置</w:t>
      </w:r>
      <w:r w:rsidRPr="00F13DC9">
        <w:rPr>
          <w:kern w:val="0"/>
          <w:sz w:val="24"/>
          <w:szCs w:val="24"/>
        </w:rPr>
        <w:t>25ml</w:t>
      </w:r>
      <w:r w:rsidRPr="00F13DC9">
        <w:rPr>
          <w:kern w:val="0"/>
          <w:sz w:val="24"/>
          <w:szCs w:val="24"/>
        </w:rPr>
        <w:t>量瓶中，并用</w:t>
      </w:r>
      <w:r w:rsidRPr="00F13DC9">
        <w:rPr>
          <w:kern w:val="0"/>
          <w:sz w:val="24"/>
          <w:szCs w:val="24"/>
        </w:rPr>
        <w:t>5%</w:t>
      </w:r>
      <w:r w:rsidRPr="00F13DC9">
        <w:rPr>
          <w:kern w:val="0"/>
          <w:sz w:val="24"/>
          <w:szCs w:val="24"/>
        </w:rPr>
        <w:t>硝酸溶液稀释至刻度，摇匀</w:t>
      </w:r>
      <w:r w:rsidRPr="00F13DC9">
        <w:rPr>
          <w:sz w:val="24"/>
          <w:szCs w:val="24"/>
        </w:rPr>
        <w:t>，即得。</w:t>
      </w:r>
      <w:r w:rsidRPr="00F13DC9">
        <w:rPr>
          <w:kern w:val="0"/>
          <w:sz w:val="24"/>
          <w:szCs w:val="24"/>
        </w:rPr>
        <w:t>同法制备空白溶液。必要时用</w:t>
      </w:r>
      <w:r w:rsidRPr="00F13DC9">
        <w:rPr>
          <w:kern w:val="0"/>
          <w:sz w:val="24"/>
          <w:szCs w:val="24"/>
        </w:rPr>
        <w:t>0.45μm</w:t>
      </w:r>
      <w:r w:rsidRPr="00F13DC9">
        <w:rPr>
          <w:kern w:val="0"/>
          <w:sz w:val="24"/>
          <w:szCs w:val="24"/>
        </w:rPr>
        <w:t>微孔滤膜过滤。</w:t>
      </w:r>
    </w:p>
    <w:p w:rsidR="00256F07" w:rsidRPr="002A0571" w:rsidRDefault="00256F07" w:rsidP="00256F07">
      <w:pPr>
        <w:widowControl/>
        <w:snapToGrid w:val="0"/>
        <w:spacing w:line="360" w:lineRule="auto"/>
        <w:ind w:firstLine="480"/>
        <w:rPr>
          <w:b/>
          <w:kern w:val="0"/>
          <w:sz w:val="24"/>
          <w:szCs w:val="24"/>
        </w:rPr>
      </w:pPr>
      <w:r w:rsidRPr="002A0571">
        <w:rPr>
          <w:b/>
          <w:kern w:val="0"/>
          <w:sz w:val="24"/>
          <w:szCs w:val="24"/>
        </w:rPr>
        <w:lastRenderedPageBreak/>
        <w:t>1.</w:t>
      </w:r>
      <w:r>
        <w:rPr>
          <w:b/>
          <w:kern w:val="0"/>
          <w:sz w:val="24"/>
          <w:szCs w:val="24"/>
        </w:rPr>
        <w:t>2</w:t>
      </w:r>
      <w:r w:rsidRPr="002A0571">
        <w:rPr>
          <w:b/>
          <w:kern w:val="0"/>
          <w:sz w:val="24"/>
          <w:szCs w:val="24"/>
        </w:rPr>
        <w:t xml:space="preserve"> </w:t>
      </w:r>
      <w:r w:rsidRPr="002A0571">
        <w:rPr>
          <w:b/>
          <w:kern w:val="0"/>
          <w:sz w:val="24"/>
          <w:szCs w:val="24"/>
        </w:rPr>
        <w:t>炽灼残渣法</w:t>
      </w:r>
      <w:r w:rsidRPr="002A0571">
        <w:rPr>
          <w:rFonts w:hint="eastAsia"/>
          <w:b/>
          <w:kern w:val="0"/>
          <w:sz w:val="24"/>
          <w:szCs w:val="24"/>
        </w:rPr>
        <w:t xml:space="preserve"> </w:t>
      </w:r>
    </w:p>
    <w:p w:rsidR="00256F07" w:rsidRPr="002C6D27" w:rsidRDefault="00256F07" w:rsidP="00256F07">
      <w:pPr>
        <w:widowControl/>
        <w:snapToGrid w:val="0"/>
        <w:spacing w:line="360" w:lineRule="auto"/>
        <w:ind w:firstLine="480"/>
        <w:rPr>
          <w:kern w:val="0"/>
          <w:sz w:val="24"/>
          <w:szCs w:val="24"/>
        </w:rPr>
      </w:pPr>
      <w:r w:rsidRPr="00F13DC9">
        <w:rPr>
          <w:kern w:val="0"/>
          <w:sz w:val="24"/>
          <w:szCs w:val="24"/>
        </w:rPr>
        <w:t>取供试品</w:t>
      </w:r>
      <w:r w:rsidRPr="00F13DC9">
        <w:rPr>
          <w:kern w:val="0"/>
          <w:sz w:val="24"/>
          <w:szCs w:val="24"/>
        </w:rPr>
        <w:t>5.0g</w:t>
      </w:r>
      <w:r w:rsidRPr="00F13DC9">
        <w:rPr>
          <w:kern w:val="0"/>
          <w:sz w:val="24"/>
          <w:szCs w:val="24"/>
        </w:rPr>
        <w:t>，剪碎，置坩埚内，在电热炉上缓慢灼烧至完全炭化，然后在</w:t>
      </w:r>
      <w:r w:rsidRPr="00F13DC9">
        <w:rPr>
          <w:kern w:val="0"/>
          <w:sz w:val="24"/>
          <w:szCs w:val="24"/>
        </w:rPr>
        <w:t>550</w:t>
      </w:r>
      <w:r w:rsidRPr="00F13DC9">
        <w:rPr>
          <w:rFonts w:ascii="宋体" w:hAnsi="宋体" w:cs="宋体" w:hint="eastAsia"/>
          <w:kern w:val="0"/>
          <w:sz w:val="24"/>
          <w:szCs w:val="24"/>
        </w:rPr>
        <w:t>℃</w:t>
      </w:r>
      <w:r w:rsidRPr="00F13DC9">
        <w:rPr>
          <w:kern w:val="0"/>
          <w:sz w:val="24"/>
          <w:szCs w:val="24"/>
        </w:rPr>
        <w:t>条件下灼烧</w:t>
      </w:r>
      <w:r w:rsidRPr="00F13DC9">
        <w:rPr>
          <w:kern w:val="0"/>
          <w:sz w:val="24"/>
          <w:szCs w:val="24"/>
        </w:rPr>
        <w:t>2</w:t>
      </w:r>
      <w:r w:rsidRPr="00F13DC9">
        <w:rPr>
          <w:color w:val="000000"/>
          <w:kern w:val="0"/>
          <w:sz w:val="24"/>
          <w:szCs w:val="24"/>
        </w:rPr>
        <w:t>小时</w:t>
      </w:r>
      <w:r w:rsidRPr="00F13DC9">
        <w:rPr>
          <w:kern w:val="0"/>
          <w:sz w:val="24"/>
          <w:szCs w:val="24"/>
        </w:rPr>
        <w:t>，冷却后取出坩埚。加盐酸（</w:t>
      </w:r>
      <w:r w:rsidRPr="00F13DC9">
        <w:rPr>
          <w:kern w:val="0"/>
          <w:sz w:val="24"/>
          <w:szCs w:val="24"/>
        </w:rPr>
        <w:t>1→2</w:t>
      </w:r>
      <w:r w:rsidRPr="00F13DC9">
        <w:rPr>
          <w:kern w:val="0"/>
          <w:sz w:val="24"/>
          <w:szCs w:val="24"/>
        </w:rPr>
        <w:t>）</w:t>
      </w:r>
      <w:r w:rsidRPr="00F13DC9">
        <w:rPr>
          <w:kern w:val="0"/>
          <w:sz w:val="24"/>
          <w:szCs w:val="24"/>
        </w:rPr>
        <w:t>5ml</w:t>
      </w:r>
      <w:r w:rsidRPr="00F13DC9">
        <w:rPr>
          <w:kern w:val="0"/>
          <w:sz w:val="24"/>
          <w:szCs w:val="24"/>
        </w:rPr>
        <w:t>溶解，蒸干，加</w:t>
      </w:r>
      <w:r w:rsidRPr="00F13DC9">
        <w:rPr>
          <w:kern w:val="0"/>
          <w:sz w:val="24"/>
          <w:szCs w:val="24"/>
        </w:rPr>
        <w:t>5%</w:t>
      </w:r>
      <w:r w:rsidRPr="00F13DC9">
        <w:rPr>
          <w:kern w:val="0"/>
          <w:sz w:val="24"/>
          <w:szCs w:val="24"/>
        </w:rPr>
        <w:t>硝酸溶液使残渣溶解，分次将溶解液完全转移置</w:t>
      </w:r>
      <w:r w:rsidRPr="00F13DC9">
        <w:rPr>
          <w:kern w:val="0"/>
          <w:sz w:val="24"/>
          <w:szCs w:val="24"/>
        </w:rPr>
        <w:t>25ml</w:t>
      </w:r>
      <w:r w:rsidRPr="00F13DC9">
        <w:rPr>
          <w:kern w:val="0"/>
          <w:sz w:val="24"/>
          <w:szCs w:val="24"/>
        </w:rPr>
        <w:t>量瓶中，并用</w:t>
      </w:r>
      <w:r w:rsidRPr="00F13DC9">
        <w:rPr>
          <w:kern w:val="0"/>
          <w:sz w:val="24"/>
          <w:szCs w:val="24"/>
        </w:rPr>
        <w:t>5%</w:t>
      </w:r>
      <w:r w:rsidRPr="00F13DC9">
        <w:rPr>
          <w:kern w:val="0"/>
          <w:sz w:val="24"/>
          <w:szCs w:val="24"/>
        </w:rPr>
        <w:t>硝酸溶液稀释至刻度，摇匀，即得。同法制备空白。必要时用</w:t>
      </w:r>
      <w:r w:rsidRPr="00F13DC9">
        <w:rPr>
          <w:kern w:val="0"/>
          <w:sz w:val="24"/>
          <w:szCs w:val="24"/>
        </w:rPr>
        <w:t>0.45μm</w:t>
      </w:r>
      <w:r w:rsidRPr="00F13DC9">
        <w:rPr>
          <w:kern w:val="0"/>
          <w:sz w:val="24"/>
          <w:szCs w:val="24"/>
        </w:rPr>
        <w:t>微孔滤膜过滤。</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2</w:t>
      </w:r>
      <w:r w:rsidR="002C6D27">
        <w:rPr>
          <w:rFonts w:hint="eastAsia"/>
          <w:b/>
          <w:bCs/>
          <w:sz w:val="24"/>
          <w:szCs w:val="24"/>
        </w:rPr>
        <w:t>.</w:t>
      </w:r>
      <w:r w:rsidR="002C6D27">
        <w:rPr>
          <w:b/>
          <w:bCs/>
          <w:sz w:val="24"/>
          <w:szCs w:val="24"/>
        </w:rPr>
        <w:t xml:space="preserve"> </w:t>
      </w:r>
      <w:r w:rsidRPr="00F13DC9">
        <w:rPr>
          <w:b/>
          <w:bCs/>
          <w:sz w:val="24"/>
          <w:szCs w:val="24"/>
        </w:rPr>
        <w:t>金属离子</w:t>
      </w:r>
    </w:p>
    <w:p w:rsidR="004035F4" w:rsidRPr="00F13DC9" w:rsidRDefault="00AE2352" w:rsidP="003C2FFD">
      <w:pPr>
        <w:spacing w:line="360" w:lineRule="auto"/>
        <w:ind w:firstLineChars="200" w:firstLine="480"/>
        <w:rPr>
          <w:sz w:val="24"/>
          <w:szCs w:val="24"/>
        </w:rPr>
      </w:pPr>
      <w:r w:rsidRPr="00F13DC9">
        <w:rPr>
          <w:sz w:val="24"/>
          <w:szCs w:val="24"/>
        </w:rPr>
        <w:t>取容器平整部分内表面积</w:t>
      </w:r>
      <w:r w:rsidRPr="00F13DC9">
        <w:rPr>
          <w:sz w:val="24"/>
          <w:szCs w:val="24"/>
        </w:rPr>
        <w:t>600cm</w:t>
      </w:r>
      <w:r w:rsidRPr="00F13DC9">
        <w:rPr>
          <w:sz w:val="24"/>
          <w:szCs w:val="24"/>
          <w:vertAlign w:val="superscript"/>
        </w:rPr>
        <w:t>2</w:t>
      </w:r>
      <w:r w:rsidRPr="00F13DC9">
        <w:rPr>
          <w:sz w:val="24"/>
          <w:szCs w:val="24"/>
        </w:rPr>
        <w:t>，切成</w:t>
      </w:r>
      <w:r w:rsidRPr="00F13DC9">
        <w:rPr>
          <w:sz w:val="24"/>
          <w:szCs w:val="24"/>
        </w:rPr>
        <w:t>5cm×0.5cm</w:t>
      </w:r>
      <w:r w:rsidRPr="00F13DC9">
        <w:rPr>
          <w:sz w:val="24"/>
          <w:szCs w:val="24"/>
        </w:rPr>
        <w:t>的小片，水洗，室温干燥后置具塞锥形瓶中，加水</w:t>
      </w:r>
      <w:r w:rsidRPr="00F13DC9">
        <w:rPr>
          <w:sz w:val="24"/>
          <w:szCs w:val="24"/>
        </w:rPr>
        <w:t>200ml</w:t>
      </w:r>
      <w:r w:rsidRPr="00F13DC9">
        <w:rPr>
          <w:sz w:val="24"/>
          <w:szCs w:val="24"/>
        </w:rPr>
        <w:t>，密封，置高压蒸汽灭菌器中，</w:t>
      </w:r>
      <w:r w:rsidRPr="00F13DC9">
        <w:rPr>
          <w:sz w:val="24"/>
          <w:szCs w:val="24"/>
        </w:rPr>
        <w:t>121</w:t>
      </w:r>
      <w:r w:rsidRPr="00F13DC9">
        <w:rPr>
          <w:rFonts w:ascii="宋体" w:hAnsi="宋体" w:cs="宋体" w:hint="eastAsia"/>
          <w:sz w:val="24"/>
          <w:szCs w:val="24"/>
        </w:rPr>
        <w:t>℃</w:t>
      </w:r>
      <w:r w:rsidRPr="00F13DC9">
        <w:rPr>
          <w:sz w:val="24"/>
          <w:szCs w:val="24"/>
        </w:rPr>
        <w:t>加热</w:t>
      </w:r>
      <w:r w:rsidRPr="00F13DC9">
        <w:rPr>
          <w:sz w:val="24"/>
          <w:szCs w:val="24"/>
        </w:rPr>
        <w:t>30</w:t>
      </w:r>
      <w:r w:rsidRPr="00F13DC9">
        <w:rPr>
          <w:sz w:val="24"/>
          <w:szCs w:val="24"/>
        </w:rPr>
        <w:t>分钟，放冷至室温，作为供试品溶液。</w:t>
      </w:r>
      <w:r w:rsidRPr="00F13DC9">
        <w:rPr>
          <w:kern w:val="0"/>
          <w:sz w:val="24"/>
          <w:szCs w:val="24"/>
        </w:rPr>
        <w:t>同法制备空白溶液</w:t>
      </w:r>
      <w:r w:rsidRPr="00F13DC9">
        <w:rPr>
          <w:sz w:val="24"/>
          <w:szCs w:val="24"/>
        </w:rPr>
        <w:t>。</w:t>
      </w:r>
      <w:r w:rsidRPr="00F13DC9">
        <w:rPr>
          <w:kern w:val="0"/>
          <w:sz w:val="24"/>
          <w:szCs w:val="24"/>
        </w:rPr>
        <w:t>必要时用</w:t>
      </w:r>
      <w:r w:rsidRPr="00F13DC9">
        <w:rPr>
          <w:kern w:val="0"/>
          <w:sz w:val="24"/>
          <w:szCs w:val="24"/>
        </w:rPr>
        <w:t>0.45μm</w:t>
      </w:r>
      <w:r w:rsidRPr="00F13DC9">
        <w:rPr>
          <w:kern w:val="0"/>
          <w:sz w:val="24"/>
          <w:szCs w:val="24"/>
        </w:rPr>
        <w:t>微孔滤膜过滤。</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第二类</w:t>
      </w:r>
      <w:r w:rsidR="002C6D27">
        <w:rPr>
          <w:b/>
          <w:bCs/>
          <w:sz w:val="24"/>
          <w:szCs w:val="24"/>
        </w:rPr>
        <w:t xml:space="preserve"> </w:t>
      </w:r>
      <w:r w:rsidRPr="00F13DC9">
        <w:rPr>
          <w:b/>
          <w:bCs/>
          <w:sz w:val="24"/>
          <w:szCs w:val="24"/>
        </w:rPr>
        <w:t>玻璃</w:t>
      </w:r>
    </w:p>
    <w:p w:rsidR="004035F4" w:rsidRPr="00F13DC9" w:rsidRDefault="00AE2352" w:rsidP="003C2FFD">
      <w:pPr>
        <w:spacing w:line="360" w:lineRule="auto"/>
        <w:ind w:firstLineChars="200" w:firstLine="480"/>
        <w:rPr>
          <w:sz w:val="24"/>
          <w:szCs w:val="24"/>
        </w:rPr>
      </w:pPr>
      <w:r w:rsidRPr="00F13DC9">
        <w:rPr>
          <w:sz w:val="24"/>
          <w:szCs w:val="24"/>
        </w:rPr>
        <w:t>玻璃类药包材应重点关注的金属离子包括但不限于砷、锑、铅、镉。</w:t>
      </w:r>
    </w:p>
    <w:p w:rsidR="004035F4" w:rsidRPr="00F13DC9" w:rsidRDefault="00AE2352" w:rsidP="003C2FFD">
      <w:pPr>
        <w:spacing w:line="360" w:lineRule="auto"/>
        <w:ind w:firstLineChars="200" w:firstLine="480"/>
        <w:rPr>
          <w:b/>
          <w:sz w:val="24"/>
          <w:szCs w:val="24"/>
        </w:rPr>
      </w:pPr>
      <w:r w:rsidRPr="00F13DC9">
        <w:rPr>
          <w:sz w:val="24"/>
          <w:szCs w:val="24"/>
        </w:rPr>
        <w:t>玻璃容器的金属离子浸出量测定结果以</w:t>
      </w:r>
      <w:r w:rsidRPr="00F13DC9">
        <w:rPr>
          <w:sz w:val="24"/>
          <w:szCs w:val="24"/>
        </w:rPr>
        <w:t>mg/L</w:t>
      </w:r>
      <w:r w:rsidRPr="00F13DC9">
        <w:rPr>
          <w:sz w:val="24"/>
          <w:szCs w:val="24"/>
        </w:rPr>
        <w:t>表示。药用玻璃管的金属离子浸出量测定结果以</w:t>
      </w:r>
      <w:r w:rsidRPr="00F13DC9">
        <w:rPr>
          <w:sz w:val="24"/>
          <w:szCs w:val="24"/>
        </w:rPr>
        <w:t>mg/dm</w:t>
      </w:r>
      <w:r w:rsidRPr="00F13DC9">
        <w:rPr>
          <w:sz w:val="24"/>
          <w:szCs w:val="24"/>
          <w:vertAlign w:val="superscript"/>
        </w:rPr>
        <w:t>2</w:t>
      </w:r>
      <w:r w:rsidRPr="00F13DC9">
        <w:rPr>
          <w:sz w:val="24"/>
          <w:szCs w:val="24"/>
        </w:rPr>
        <w:t>表示。</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1</w:t>
      </w:r>
      <w:r w:rsidR="002C6D27">
        <w:rPr>
          <w:b/>
          <w:bCs/>
          <w:sz w:val="24"/>
          <w:szCs w:val="24"/>
        </w:rPr>
        <w:t xml:space="preserve">. </w:t>
      </w:r>
      <w:r w:rsidRPr="00F13DC9">
        <w:rPr>
          <w:b/>
          <w:bCs/>
          <w:sz w:val="24"/>
          <w:szCs w:val="24"/>
        </w:rPr>
        <w:t>玻璃容器</w:t>
      </w:r>
    </w:p>
    <w:p w:rsidR="004035F4" w:rsidRPr="00F13DC9" w:rsidRDefault="00AE2352" w:rsidP="003C2FFD">
      <w:pPr>
        <w:spacing w:line="360" w:lineRule="auto"/>
        <w:ind w:firstLineChars="200" w:firstLine="480"/>
        <w:rPr>
          <w:sz w:val="24"/>
          <w:szCs w:val="24"/>
        </w:rPr>
      </w:pPr>
      <w:r w:rsidRPr="00F13DC9">
        <w:rPr>
          <w:sz w:val="24"/>
          <w:szCs w:val="24"/>
        </w:rPr>
        <w:t>供试品为容器时，按照表</w:t>
      </w:r>
      <w:r w:rsidRPr="00F13DC9">
        <w:rPr>
          <w:sz w:val="24"/>
          <w:szCs w:val="24"/>
        </w:rPr>
        <w:t>2</w:t>
      </w:r>
      <w:r w:rsidRPr="00F13DC9">
        <w:rPr>
          <w:sz w:val="24"/>
          <w:szCs w:val="24"/>
        </w:rPr>
        <w:t>的取样数量取样，将供试品清洗干净，并用</w:t>
      </w:r>
      <w:r w:rsidRPr="00F13DC9">
        <w:rPr>
          <w:sz w:val="24"/>
          <w:szCs w:val="24"/>
        </w:rPr>
        <w:t>4%</w:t>
      </w:r>
      <w:r w:rsidRPr="00F13DC9">
        <w:rPr>
          <w:sz w:val="24"/>
          <w:szCs w:val="24"/>
        </w:rPr>
        <w:t>醋酸溶液灌装至满口容量的</w:t>
      </w:r>
      <w:r w:rsidRPr="00F13DC9">
        <w:rPr>
          <w:sz w:val="24"/>
          <w:szCs w:val="24"/>
        </w:rPr>
        <w:t>90</w:t>
      </w:r>
      <w:r w:rsidRPr="00F13DC9">
        <w:rPr>
          <w:sz w:val="24"/>
          <w:szCs w:val="24"/>
        </w:rPr>
        <w:t>％，对于安瓿等容量较小的容器，则灌装至瓶身缩肩部，用倒置烧杯（用平均线热膨胀系数</w:t>
      </w:r>
      <w:r w:rsidRPr="00F13DC9">
        <w:rPr>
          <w:sz w:val="24"/>
          <w:szCs w:val="24"/>
        </w:rPr>
        <w:t>α</w:t>
      </w:r>
      <w:r w:rsidRPr="00F13DC9">
        <w:rPr>
          <w:sz w:val="24"/>
          <w:szCs w:val="24"/>
        </w:rPr>
        <w:t>（</w:t>
      </w:r>
      <w:r w:rsidRPr="00F13DC9">
        <w:rPr>
          <w:sz w:val="24"/>
          <w:szCs w:val="24"/>
        </w:rPr>
        <w:t>20</w:t>
      </w:r>
      <w:r w:rsidRPr="00F13DC9">
        <w:rPr>
          <w:rFonts w:ascii="宋体" w:hAnsi="宋体" w:cs="宋体" w:hint="eastAsia"/>
          <w:sz w:val="24"/>
          <w:szCs w:val="24"/>
        </w:rPr>
        <w:t>℃</w:t>
      </w:r>
      <w:r w:rsidRPr="00F13DC9">
        <w:rPr>
          <w:sz w:val="24"/>
          <w:szCs w:val="24"/>
        </w:rPr>
        <w:t>～</w:t>
      </w:r>
      <w:r w:rsidRPr="00F13DC9">
        <w:rPr>
          <w:sz w:val="24"/>
          <w:szCs w:val="24"/>
        </w:rPr>
        <w:t>300</w:t>
      </w:r>
      <w:r w:rsidRPr="00F13DC9">
        <w:rPr>
          <w:rFonts w:ascii="宋体" w:hAnsi="宋体" w:cs="宋体" w:hint="eastAsia"/>
          <w:sz w:val="24"/>
          <w:szCs w:val="24"/>
        </w:rPr>
        <w:t>℃</w:t>
      </w:r>
      <w:r w:rsidRPr="00F13DC9">
        <w:rPr>
          <w:sz w:val="24"/>
          <w:szCs w:val="24"/>
        </w:rPr>
        <w:t>）约为</w:t>
      </w:r>
      <w:r w:rsidRPr="00F13DC9">
        <w:rPr>
          <w:sz w:val="24"/>
          <w:szCs w:val="24"/>
        </w:rPr>
        <w:t>3.3×10</w:t>
      </w:r>
      <w:r w:rsidRPr="00F13DC9">
        <w:rPr>
          <w:sz w:val="24"/>
          <w:szCs w:val="24"/>
          <w:vertAlign w:val="superscript"/>
        </w:rPr>
        <w:t>-6</w:t>
      </w:r>
      <w:r w:rsidRPr="00F13DC9">
        <w:rPr>
          <w:sz w:val="24"/>
          <w:szCs w:val="24"/>
        </w:rPr>
        <w:t>K</w:t>
      </w:r>
      <w:r w:rsidRPr="00F13DC9">
        <w:rPr>
          <w:sz w:val="24"/>
          <w:szCs w:val="24"/>
          <w:vertAlign w:val="superscript"/>
        </w:rPr>
        <w:t>-1</w:t>
      </w:r>
      <w:r w:rsidRPr="00F13DC9">
        <w:rPr>
          <w:sz w:val="24"/>
          <w:szCs w:val="24"/>
        </w:rPr>
        <w:t>的硼硅玻璃制成，新烧杯须经过老化处理）或惰性材料（测定铝浸出量时不宜使用锡纸和铝箔等含铝材料）盖住口部。</w:t>
      </w:r>
      <w:r w:rsidRPr="00F13DC9">
        <w:rPr>
          <w:sz w:val="24"/>
          <w:szCs w:val="24"/>
        </w:rPr>
        <w:t>98</w:t>
      </w:r>
      <w:r w:rsidRPr="00F13DC9">
        <w:rPr>
          <w:rFonts w:ascii="宋体" w:hAnsi="宋体" w:cs="宋体" w:hint="eastAsia"/>
          <w:sz w:val="24"/>
          <w:szCs w:val="24"/>
        </w:rPr>
        <w:t>℃</w:t>
      </w:r>
      <w:r w:rsidRPr="00F13DC9">
        <w:rPr>
          <w:sz w:val="24"/>
          <w:szCs w:val="24"/>
        </w:rPr>
        <w:t>±1</w:t>
      </w:r>
      <w:r w:rsidRPr="00F13DC9">
        <w:rPr>
          <w:rFonts w:ascii="宋体" w:hAnsi="宋体" w:cs="宋体" w:hint="eastAsia"/>
          <w:sz w:val="24"/>
          <w:szCs w:val="24"/>
        </w:rPr>
        <w:t>℃</w:t>
      </w:r>
      <w:r w:rsidRPr="00F13DC9">
        <w:rPr>
          <w:sz w:val="24"/>
          <w:szCs w:val="24"/>
        </w:rPr>
        <w:t>蒸煮</w:t>
      </w:r>
      <w:r w:rsidRPr="00F13DC9">
        <w:rPr>
          <w:sz w:val="24"/>
          <w:szCs w:val="24"/>
        </w:rPr>
        <w:t>2</w:t>
      </w:r>
      <w:r w:rsidRPr="00F13DC9">
        <w:rPr>
          <w:sz w:val="24"/>
          <w:szCs w:val="24"/>
        </w:rPr>
        <w:t>小时。冷却后取出，溶液即为供试品溶液。</w:t>
      </w:r>
      <w:r w:rsidRPr="00F13DC9">
        <w:rPr>
          <w:kern w:val="0"/>
          <w:sz w:val="24"/>
          <w:szCs w:val="24"/>
        </w:rPr>
        <w:t>同法制备空白溶液</w:t>
      </w:r>
      <w:r w:rsidRPr="00F13DC9">
        <w:rPr>
          <w:sz w:val="24"/>
          <w:szCs w:val="24"/>
        </w:rPr>
        <w:t>。</w:t>
      </w:r>
      <w:r w:rsidRPr="00F13DC9">
        <w:rPr>
          <w:kern w:val="0"/>
          <w:sz w:val="24"/>
          <w:szCs w:val="24"/>
        </w:rPr>
        <w:t>必要时用</w:t>
      </w:r>
      <w:r w:rsidRPr="00F13DC9">
        <w:rPr>
          <w:kern w:val="0"/>
          <w:sz w:val="24"/>
          <w:szCs w:val="24"/>
        </w:rPr>
        <w:t>0.45μm</w:t>
      </w:r>
      <w:r w:rsidRPr="00F13DC9">
        <w:rPr>
          <w:kern w:val="0"/>
          <w:sz w:val="24"/>
          <w:szCs w:val="24"/>
        </w:rPr>
        <w:t>微孔滤膜过滤。</w:t>
      </w:r>
    </w:p>
    <w:p w:rsidR="004035F4" w:rsidRPr="00F13DC9" w:rsidRDefault="00AE2352" w:rsidP="003C2FFD">
      <w:pPr>
        <w:spacing w:line="360" w:lineRule="auto"/>
        <w:ind w:firstLineChars="200" w:firstLine="420"/>
        <w:jc w:val="center"/>
      </w:pPr>
      <w:r w:rsidRPr="00F13DC9">
        <w:t>表</w:t>
      </w:r>
      <w:r w:rsidRPr="00F13DC9">
        <w:t xml:space="preserve">2 </w:t>
      </w:r>
      <w:r w:rsidRPr="00F13DC9">
        <w:t>玻璃容器容量与取样数量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156"/>
        <w:gridCol w:w="2065"/>
      </w:tblGrid>
      <w:tr w:rsidR="004035F4" w:rsidRPr="00F13DC9">
        <w:trPr>
          <w:trHeight w:val="159"/>
          <w:jc w:val="center"/>
        </w:trPr>
        <w:tc>
          <w:tcPr>
            <w:tcW w:w="3156"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容量（</w:t>
            </w:r>
            <w:r w:rsidRPr="00F13DC9">
              <w:rPr>
                <w:kern w:val="0"/>
              </w:rPr>
              <w:t>ml</w:t>
            </w:r>
            <w:r w:rsidRPr="00F13DC9">
              <w:rPr>
                <w:kern w:val="0"/>
              </w:rPr>
              <w:t>）</w:t>
            </w:r>
          </w:p>
        </w:tc>
        <w:tc>
          <w:tcPr>
            <w:tcW w:w="2065"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数量（支）</w:t>
            </w:r>
          </w:p>
        </w:tc>
      </w:tr>
      <w:tr w:rsidR="004035F4" w:rsidRPr="00F13DC9">
        <w:trPr>
          <w:trHeight w:val="70"/>
          <w:jc w:val="center"/>
        </w:trPr>
        <w:tc>
          <w:tcPr>
            <w:tcW w:w="3156"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 10</w:t>
            </w:r>
          </w:p>
        </w:tc>
        <w:tc>
          <w:tcPr>
            <w:tcW w:w="2065"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30</w:t>
            </w:r>
          </w:p>
        </w:tc>
      </w:tr>
      <w:tr w:rsidR="004035F4" w:rsidRPr="00F13DC9">
        <w:trPr>
          <w:jc w:val="center"/>
        </w:trPr>
        <w:tc>
          <w:tcPr>
            <w:tcW w:w="3156"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w:t>
            </w:r>
            <w:r w:rsidRPr="00F13DC9">
              <w:rPr>
                <w:kern w:val="0"/>
              </w:rPr>
              <w:t>10</w:t>
            </w:r>
            <w:r w:rsidRPr="00F13DC9">
              <w:rPr>
                <w:kern w:val="0"/>
              </w:rPr>
              <w:t>～</w:t>
            </w:r>
            <w:r w:rsidRPr="00F13DC9">
              <w:rPr>
                <w:kern w:val="0"/>
              </w:rPr>
              <w:t>50</w:t>
            </w:r>
          </w:p>
        </w:tc>
        <w:tc>
          <w:tcPr>
            <w:tcW w:w="2065"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10</w:t>
            </w:r>
          </w:p>
        </w:tc>
      </w:tr>
      <w:tr w:rsidR="004035F4" w:rsidRPr="00F13DC9">
        <w:trPr>
          <w:jc w:val="center"/>
        </w:trPr>
        <w:tc>
          <w:tcPr>
            <w:tcW w:w="3156"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w:t>
            </w:r>
            <w:r w:rsidRPr="00F13DC9">
              <w:rPr>
                <w:kern w:val="0"/>
              </w:rPr>
              <w:t>50</w:t>
            </w:r>
            <w:r w:rsidRPr="00F13DC9">
              <w:rPr>
                <w:kern w:val="0"/>
              </w:rPr>
              <w:t>～</w:t>
            </w:r>
            <w:r w:rsidRPr="00F13DC9">
              <w:rPr>
                <w:kern w:val="0"/>
              </w:rPr>
              <w:t>250</w:t>
            </w:r>
          </w:p>
        </w:tc>
        <w:tc>
          <w:tcPr>
            <w:tcW w:w="2065"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2</w:t>
            </w:r>
          </w:p>
        </w:tc>
      </w:tr>
      <w:tr w:rsidR="004035F4" w:rsidRPr="00F13DC9">
        <w:trPr>
          <w:jc w:val="center"/>
        </w:trPr>
        <w:tc>
          <w:tcPr>
            <w:tcW w:w="3156"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w:t>
            </w:r>
            <w:r w:rsidRPr="00F13DC9">
              <w:rPr>
                <w:kern w:val="0"/>
              </w:rPr>
              <w:t xml:space="preserve"> 250</w:t>
            </w:r>
          </w:p>
        </w:tc>
        <w:tc>
          <w:tcPr>
            <w:tcW w:w="2065" w:type="dxa"/>
            <w:tcBorders>
              <w:top w:val="single" w:sz="4" w:space="0" w:color="auto"/>
              <w:left w:val="single" w:sz="4" w:space="0" w:color="auto"/>
              <w:bottom w:val="single" w:sz="4" w:space="0" w:color="auto"/>
              <w:right w:val="single" w:sz="4" w:space="0" w:color="auto"/>
            </w:tcBorders>
            <w:vAlign w:val="center"/>
          </w:tcPr>
          <w:p w:rsidR="004035F4" w:rsidRPr="00F13DC9" w:rsidRDefault="00AE2352" w:rsidP="003C2FFD">
            <w:pPr>
              <w:spacing w:line="360" w:lineRule="auto"/>
              <w:jc w:val="center"/>
              <w:rPr>
                <w:kern w:val="0"/>
              </w:rPr>
            </w:pPr>
            <w:r w:rsidRPr="00F13DC9">
              <w:rPr>
                <w:kern w:val="0"/>
              </w:rPr>
              <w:t>1</w:t>
            </w:r>
          </w:p>
        </w:tc>
      </w:tr>
    </w:tbl>
    <w:p w:rsidR="004035F4" w:rsidRPr="00F13DC9" w:rsidRDefault="00AE2352" w:rsidP="002C6D27">
      <w:pPr>
        <w:autoSpaceDE w:val="0"/>
        <w:autoSpaceDN w:val="0"/>
        <w:adjustRightInd w:val="0"/>
        <w:spacing w:line="360" w:lineRule="auto"/>
        <w:ind w:firstLineChars="200" w:firstLine="482"/>
        <w:jc w:val="left"/>
        <w:rPr>
          <w:b/>
          <w:bCs/>
          <w:sz w:val="24"/>
          <w:szCs w:val="24"/>
        </w:rPr>
      </w:pPr>
      <w:r w:rsidRPr="00F13DC9">
        <w:rPr>
          <w:b/>
          <w:bCs/>
          <w:sz w:val="24"/>
          <w:szCs w:val="24"/>
        </w:rPr>
        <w:t>2</w:t>
      </w:r>
      <w:r w:rsidR="002C6D27">
        <w:rPr>
          <w:rFonts w:hint="eastAsia"/>
          <w:b/>
          <w:bCs/>
          <w:sz w:val="24"/>
          <w:szCs w:val="24"/>
        </w:rPr>
        <w:t>.</w:t>
      </w:r>
      <w:r w:rsidR="002C6D27">
        <w:rPr>
          <w:b/>
          <w:bCs/>
          <w:sz w:val="24"/>
          <w:szCs w:val="24"/>
        </w:rPr>
        <w:t xml:space="preserve"> </w:t>
      </w:r>
      <w:r w:rsidRPr="00F13DC9">
        <w:rPr>
          <w:b/>
          <w:bCs/>
          <w:sz w:val="24"/>
          <w:szCs w:val="24"/>
        </w:rPr>
        <w:t>玻璃管</w:t>
      </w:r>
    </w:p>
    <w:p w:rsidR="004035F4" w:rsidRPr="00F13DC9" w:rsidRDefault="00AE2352" w:rsidP="003C2FFD">
      <w:pPr>
        <w:spacing w:line="360" w:lineRule="auto"/>
        <w:ind w:firstLineChars="200" w:firstLine="480"/>
        <w:rPr>
          <w:sz w:val="24"/>
          <w:szCs w:val="24"/>
        </w:rPr>
      </w:pPr>
      <w:r w:rsidRPr="00F13DC9">
        <w:rPr>
          <w:sz w:val="24"/>
          <w:szCs w:val="24"/>
        </w:rPr>
        <w:lastRenderedPageBreak/>
        <w:t>供试品为玻璃管时，取总表面积（包括每截管的内、外表面及两端的截面）约为</w:t>
      </w:r>
      <w:r w:rsidRPr="00F13DC9">
        <w:rPr>
          <w:sz w:val="24"/>
          <w:szCs w:val="24"/>
        </w:rPr>
        <w:t>500cm</w:t>
      </w:r>
      <w:r w:rsidRPr="00F13DC9">
        <w:rPr>
          <w:sz w:val="24"/>
          <w:szCs w:val="24"/>
          <w:vertAlign w:val="superscript"/>
        </w:rPr>
        <w:t>2</w:t>
      </w:r>
      <w:r w:rsidRPr="00F13DC9">
        <w:rPr>
          <w:sz w:val="24"/>
          <w:szCs w:val="24"/>
        </w:rPr>
        <w:t>的玻璃管</w:t>
      </w:r>
      <w:r w:rsidRPr="00F13DC9">
        <w:rPr>
          <w:sz w:val="24"/>
          <w:szCs w:val="24"/>
        </w:rPr>
        <w:t xml:space="preserve">, </w:t>
      </w:r>
      <w:r w:rsidRPr="00F13DC9">
        <w:rPr>
          <w:sz w:val="24"/>
          <w:szCs w:val="24"/>
        </w:rPr>
        <w:t>两端截面细工研磨后清洗干净。置装有</w:t>
      </w:r>
      <w:r w:rsidRPr="00F13DC9">
        <w:rPr>
          <w:sz w:val="24"/>
          <w:szCs w:val="24"/>
        </w:rPr>
        <w:t>4%</w:t>
      </w:r>
      <w:r w:rsidRPr="00F13DC9">
        <w:rPr>
          <w:sz w:val="24"/>
          <w:szCs w:val="24"/>
        </w:rPr>
        <w:t>醋酸溶液</w:t>
      </w:r>
      <w:r w:rsidRPr="00F13DC9">
        <w:rPr>
          <w:sz w:val="24"/>
          <w:szCs w:val="24"/>
        </w:rPr>
        <w:t>1000ml</w:t>
      </w:r>
      <w:r w:rsidRPr="00F13DC9">
        <w:rPr>
          <w:sz w:val="24"/>
          <w:szCs w:val="24"/>
        </w:rPr>
        <w:t>的容器中，</w:t>
      </w:r>
      <w:r w:rsidRPr="00F13DC9">
        <w:rPr>
          <w:sz w:val="24"/>
          <w:szCs w:val="24"/>
        </w:rPr>
        <w:t>98</w:t>
      </w:r>
      <w:r w:rsidRPr="00F13DC9">
        <w:rPr>
          <w:rFonts w:ascii="宋体" w:hAnsi="宋体" w:cs="宋体" w:hint="eastAsia"/>
          <w:sz w:val="24"/>
          <w:szCs w:val="24"/>
        </w:rPr>
        <w:t>℃</w:t>
      </w:r>
      <w:r w:rsidRPr="00F13DC9">
        <w:rPr>
          <w:sz w:val="24"/>
          <w:szCs w:val="24"/>
        </w:rPr>
        <w:t>±1</w:t>
      </w:r>
      <w:r w:rsidRPr="00F13DC9">
        <w:rPr>
          <w:rFonts w:ascii="宋体" w:hAnsi="宋体" w:cs="宋体" w:hint="eastAsia"/>
          <w:sz w:val="24"/>
          <w:szCs w:val="24"/>
        </w:rPr>
        <w:t>℃</w:t>
      </w:r>
      <w:r w:rsidRPr="00F13DC9">
        <w:rPr>
          <w:sz w:val="24"/>
          <w:szCs w:val="24"/>
        </w:rPr>
        <w:t>蒸煮</w:t>
      </w:r>
      <w:r w:rsidRPr="00F13DC9">
        <w:rPr>
          <w:sz w:val="24"/>
          <w:szCs w:val="24"/>
        </w:rPr>
        <w:t>2</w:t>
      </w:r>
      <w:r w:rsidRPr="00F13DC9">
        <w:rPr>
          <w:sz w:val="24"/>
          <w:szCs w:val="24"/>
        </w:rPr>
        <w:t>小时。冷却后取出，溶液即为供试品溶液。</w:t>
      </w:r>
      <w:r w:rsidRPr="00F13DC9">
        <w:rPr>
          <w:kern w:val="0"/>
          <w:sz w:val="24"/>
          <w:szCs w:val="24"/>
        </w:rPr>
        <w:t>同法制备空白溶液</w:t>
      </w:r>
      <w:r w:rsidRPr="00F13DC9">
        <w:rPr>
          <w:sz w:val="24"/>
          <w:szCs w:val="24"/>
        </w:rPr>
        <w:t>。</w:t>
      </w:r>
      <w:r w:rsidRPr="00F13DC9">
        <w:rPr>
          <w:kern w:val="0"/>
          <w:sz w:val="24"/>
          <w:szCs w:val="24"/>
        </w:rPr>
        <w:t>必要时用</w:t>
      </w:r>
      <w:r w:rsidRPr="00F13DC9">
        <w:rPr>
          <w:kern w:val="0"/>
          <w:sz w:val="24"/>
          <w:szCs w:val="24"/>
        </w:rPr>
        <w:t>0.45μm</w:t>
      </w:r>
      <w:r w:rsidRPr="00F13DC9">
        <w:rPr>
          <w:kern w:val="0"/>
          <w:sz w:val="24"/>
          <w:szCs w:val="24"/>
        </w:rPr>
        <w:t>微孔滤膜过滤。</w:t>
      </w:r>
    </w:p>
    <w:p w:rsidR="004035F4" w:rsidRPr="00F13DC9" w:rsidRDefault="00AE2352" w:rsidP="002C6D27">
      <w:pPr>
        <w:autoSpaceDE w:val="0"/>
        <w:autoSpaceDN w:val="0"/>
        <w:adjustRightInd w:val="0"/>
        <w:spacing w:line="360" w:lineRule="auto"/>
        <w:ind w:firstLineChars="200" w:firstLine="482"/>
        <w:jc w:val="left"/>
        <w:rPr>
          <w:b/>
          <w:bCs/>
          <w:sz w:val="24"/>
          <w:szCs w:val="24"/>
        </w:rPr>
      </w:pPr>
      <w:r w:rsidRPr="00F13DC9">
        <w:rPr>
          <w:b/>
          <w:bCs/>
          <w:sz w:val="24"/>
          <w:szCs w:val="24"/>
        </w:rPr>
        <w:t>3</w:t>
      </w:r>
      <w:r w:rsidR="002C6D27">
        <w:rPr>
          <w:rFonts w:hint="eastAsia"/>
          <w:b/>
          <w:bCs/>
          <w:sz w:val="24"/>
          <w:szCs w:val="24"/>
        </w:rPr>
        <w:t>.</w:t>
      </w:r>
      <w:r w:rsidR="002C6D27">
        <w:rPr>
          <w:b/>
          <w:bCs/>
          <w:sz w:val="24"/>
          <w:szCs w:val="24"/>
        </w:rPr>
        <w:t xml:space="preserve"> </w:t>
      </w:r>
      <w:r w:rsidRPr="00F13DC9">
        <w:rPr>
          <w:b/>
          <w:bCs/>
          <w:sz w:val="24"/>
          <w:szCs w:val="24"/>
        </w:rPr>
        <w:t>预灌封玻璃组件</w:t>
      </w:r>
    </w:p>
    <w:p w:rsidR="00256F07" w:rsidRPr="00256F07" w:rsidRDefault="00AE2352" w:rsidP="003C2FFD">
      <w:pPr>
        <w:spacing w:line="360" w:lineRule="auto"/>
        <w:ind w:firstLineChars="200" w:firstLine="482"/>
        <w:rPr>
          <w:b/>
          <w:sz w:val="24"/>
          <w:szCs w:val="24"/>
        </w:rPr>
      </w:pPr>
      <w:r w:rsidRPr="00256F07">
        <w:rPr>
          <w:b/>
          <w:sz w:val="24"/>
          <w:szCs w:val="24"/>
        </w:rPr>
        <w:t xml:space="preserve">3.1 </w:t>
      </w:r>
      <w:r w:rsidRPr="00256F07">
        <w:rPr>
          <w:b/>
          <w:sz w:val="24"/>
          <w:szCs w:val="24"/>
        </w:rPr>
        <w:t>预灌封注射器用硼硅玻璃针管</w:t>
      </w:r>
      <w:r w:rsidR="00256F07" w:rsidRPr="00256F07">
        <w:rPr>
          <w:rFonts w:hint="eastAsia"/>
          <w:b/>
          <w:sz w:val="24"/>
          <w:szCs w:val="24"/>
        </w:rPr>
        <w:t xml:space="preserve"> </w:t>
      </w:r>
    </w:p>
    <w:p w:rsidR="004035F4" w:rsidRPr="00F13DC9" w:rsidRDefault="00AE2352" w:rsidP="003C2FFD">
      <w:pPr>
        <w:spacing w:line="360" w:lineRule="auto"/>
        <w:ind w:firstLineChars="200" w:firstLine="480"/>
        <w:rPr>
          <w:sz w:val="24"/>
          <w:szCs w:val="24"/>
        </w:rPr>
      </w:pPr>
      <w:r w:rsidRPr="00F13DC9">
        <w:rPr>
          <w:sz w:val="24"/>
          <w:szCs w:val="24"/>
        </w:rPr>
        <w:t>制样方法参见</w:t>
      </w:r>
      <w:r w:rsidRPr="00F13DC9">
        <w:rPr>
          <w:sz w:val="24"/>
          <w:szCs w:val="24"/>
        </w:rPr>
        <w:t xml:space="preserve">1. </w:t>
      </w:r>
      <w:r w:rsidRPr="00F13DC9">
        <w:rPr>
          <w:sz w:val="24"/>
          <w:szCs w:val="24"/>
        </w:rPr>
        <w:t>玻璃容器。</w:t>
      </w:r>
    </w:p>
    <w:p w:rsidR="00256F07" w:rsidRPr="00256F07" w:rsidRDefault="00AE2352" w:rsidP="003C2FFD">
      <w:pPr>
        <w:spacing w:line="360" w:lineRule="auto"/>
        <w:ind w:firstLineChars="200" w:firstLine="482"/>
        <w:rPr>
          <w:b/>
          <w:sz w:val="24"/>
          <w:szCs w:val="24"/>
        </w:rPr>
      </w:pPr>
      <w:r w:rsidRPr="00256F07">
        <w:rPr>
          <w:b/>
          <w:sz w:val="24"/>
          <w:szCs w:val="24"/>
        </w:rPr>
        <w:t xml:space="preserve">3.2 </w:t>
      </w:r>
      <w:r w:rsidRPr="00256F07">
        <w:rPr>
          <w:b/>
          <w:sz w:val="24"/>
          <w:szCs w:val="24"/>
        </w:rPr>
        <w:t>笔式注射器用硼硅玻璃套筒</w:t>
      </w:r>
      <w:r w:rsidR="00256F07" w:rsidRPr="00256F07">
        <w:rPr>
          <w:rFonts w:hint="eastAsia"/>
          <w:b/>
          <w:sz w:val="24"/>
          <w:szCs w:val="24"/>
        </w:rPr>
        <w:t xml:space="preserve"> </w:t>
      </w:r>
    </w:p>
    <w:p w:rsidR="004035F4" w:rsidRPr="00F13DC9" w:rsidRDefault="00AE2352" w:rsidP="003C2FFD">
      <w:pPr>
        <w:spacing w:line="360" w:lineRule="auto"/>
        <w:ind w:firstLineChars="200" w:firstLine="480"/>
        <w:rPr>
          <w:sz w:val="24"/>
          <w:szCs w:val="24"/>
        </w:rPr>
      </w:pPr>
      <w:r w:rsidRPr="00F13DC9">
        <w:rPr>
          <w:sz w:val="24"/>
          <w:szCs w:val="24"/>
        </w:rPr>
        <w:t>取供试品，选用适宜的瓶塞物（如硅橡胶），封住套筒的底部端，再按</w:t>
      </w:r>
      <w:r w:rsidRPr="00F13DC9">
        <w:rPr>
          <w:sz w:val="24"/>
          <w:szCs w:val="24"/>
        </w:rPr>
        <w:t xml:space="preserve">1. </w:t>
      </w:r>
      <w:r w:rsidRPr="00F13DC9">
        <w:rPr>
          <w:sz w:val="24"/>
          <w:szCs w:val="24"/>
        </w:rPr>
        <w:t>玻璃容器方法制备供试品溶液。</w:t>
      </w:r>
    </w:p>
    <w:p w:rsidR="00256F07" w:rsidRPr="00256F07" w:rsidRDefault="00AE2352" w:rsidP="003C2FFD">
      <w:pPr>
        <w:spacing w:line="360" w:lineRule="auto"/>
        <w:ind w:firstLineChars="200" w:firstLine="482"/>
        <w:rPr>
          <w:b/>
          <w:sz w:val="24"/>
          <w:szCs w:val="24"/>
        </w:rPr>
      </w:pPr>
      <w:r w:rsidRPr="00256F07">
        <w:rPr>
          <w:b/>
          <w:sz w:val="24"/>
          <w:szCs w:val="24"/>
        </w:rPr>
        <w:t xml:space="preserve">3.3 </w:t>
      </w:r>
      <w:r w:rsidRPr="00256F07">
        <w:rPr>
          <w:b/>
          <w:sz w:val="24"/>
          <w:szCs w:val="24"/>
        </w:rPr>
        <w:t>玻璃珠类</w:t>
      </w:r>
      <w:r w:rsidR="00256F07" w:rsidRPr="00256F07">
        <w:rPr>
          <w:rFonts w:hint="eastAsia"/>
          <w:b/>
          <w:sz w:val="24"/>
          <w:szCs w:val="24"/>
        </w:rPr>
        <w:t xml:space="preserve"> </w:t>
      </w:r>
    </w:p>
    <w:p w:rsidR="004035F4" w:rsidRPr="00F13DC9" w:rsidRDefault="00AE2352" w:rsidP="003C2FFD">
      <w:pPr>
        <w:spacing w:line="360" w:lineRule="auto"/>
        <w:ind w:firstLineChars="200" w:firstLine="480"/>
        <w:rPr>
          <w:sz w:val="24"/>
          <w:szCs w:val="24"/>
        </w:rPr>
      </w:pPr>
      <w:r w:rsidRPr="00F13DC9">
        <w:rPr>
          <w:sz w:val="24"/>
          <w:szCs w:val="24"/>
        </w:rPr>
        <w:t>取供试品，按每</w:t>
      </w:r>
      <w:r w:rsidRPr="00F13DC9">
        <w:rPr>
          <w:sz w:val="24"/>
          <w:szCs w:val="24"/>
        </w:rPr>
        <w:t>5</w:t>
      </w:r>
      <w:r w:rsidRPr="00F13DC9">
        <w:rPr>
          <w:sz w:val="24"/>
          <w:szCs w:val="24"/>
        </w:rPr>
        <w:t>粒玻璃珠加浸提液</w:t>
      </w:r>
      <w:r w:rsidRPr="00F13DC9">
        <w:rPr>
          <w:sz w:val="24"/>
          <w:szCs w:val="24"/>
        </w:rPr>
        <w:t>2ml</w:t>
      </w:r>
      <w:r w:rsidRPr="00F13DC9">
        <w:rPr>
          <w:sz w:val="24"/>
          <w:szCs w:val="24"/>
        </w:rPr>
        <w:t>的比例，再按</w:t>
      </w:r>
      <w:r w:rsidRPr="00F13DC9">
        <w:rPr>
          <w:sz w:val="24"/>
          <w:szCs w:val="24"/>
        </w:rPr>
        <w:t xml:space="preserve">2. </w:t>
      </w:r>
      <w:r w:rsidRPr="00F13DC9">
        <w:rPr>
          <w:sz w:val="24"/>
          <w:szCs w:val="24"/>
        </w:rPr>
        <w:t>玻璃管制样方法</w:t>
      </w:r>
      <w:r w:rsidRPr="00F13DC9">
        <w:rPr>
          <w:sz w:val="24"/>
          <w:szCs w:val="24"/>
        </w:rPr>
        <w:t>“</w:t>
      </w:r>
      <w:r w:rsidRPr="00F13DC9">
        <w:rPr>
          <w:sz w:val="24"/>
          <w:szCs w:val="24"/>
        </w:rPr>
        <w:t>置装有</w:t>
      </w:r>
      <w:r w:rsidRPr="00F13DC9">
        <w:rPr>
          <w:sz w:val="24"/>
          <w:szCs w:val="24"/>
        </w:rPr>
        <w:t>4%</w:t>
      </w:r>
      <w:r w:rsidRPr="00F13DC9">
        <w:rPr>
          <w:sz w:val="24"/>
          <w:szCs w:val="24"/>
        </w:rPr>
        <w:t>醋酸溶液</w:t>
      </w:r>
      <w:r w:rsidRPr="00F13DC9">
        <w:rPr>
          <w:sz w:val="24"/>
          <w:szCs w:val="24"/>
        </w:rPr>
        <w:t>……”</w:t>
      </w:r>
      <w:r w:rsidRPr="00F13DC9">
        <w:rPr>
          <w:sz w:val="24"/>
          <w:szCs w:val="24"/>
        </w:rPr>
        <w:t>制备供试品溶液。</w:t>
      </w:r>
    </w:p>
    <w:p w:rsidR="004035F4" w:rsidRPr="00F13DC9" w:rsidRDefault="00AE2352" w:rsidP="002C6D27">
      <w:pPr>
        <w:autoSpaceDE w:val="0"/>
        <w:autoSpaceDN w:val="0"/>
        <w:adjustRightInd w:val="0"/>
        <w:spacing w:line="360" w:lineRule="auto"/>
        <w:ind w:firstLineChars="200" w:firstLine="482"/>
        <w:jc w:val="left"/>
        <w:rPr>
          <w:b/>
          <w:bCs/>
          <w:sz w:val="24"/>
          <w:szCs w:val="24"/>
        </w:rPr>
      </w:pPr>
      <w:r w:rsidRPr="00F13DC9">
        <w:rPr>
          <w:b/>
          <w:bCs/>
          <w:sz w:val="24"/>
          <w:szCs w:val="24"/>
        </w:rPr>
        <w:t>第三类</w:t>
      </w:r>
      <w:r w:rsidRPr="00F13DC9">
        <w:rPr>
          <w:b/>
          <w:bCs/>
          <w:sz w:val="24"/>
          <w:szCs w:val="24"/>
        </w:rPr>
        <w:t xml:space="preserve">  </w:t>
      </w:r>
      <w:r w:rsidRPr="00F13DC9">
        <w:rPr>
          <w:b/>
          <w:bCs/>
          <w:sz w:val="24"/>
          <w:szCs w:val="24"/>
        </w:rPr>
        <w:t>橡胶密封件</w:t>
      </w:r>
    </w:p>
    <w:p w:rsidR="004035F4" w:rsidRPr="00F13DC9" w:rsidRDefault="00AE2352" w:rsidP="003C2FFD">
      <w:pPr>
        <w:spacing w:line="360" w:lineRule="auto"/>
        <w:ind w:firstLineChars="200" w:firstLine="480"/>
        <w:rPr>
          <w:rFonts w:eastAsia="等线"/>
          <w:color w:val="000000"/>
          <w:szCs w:val="22"/>
        </w:rPr>
      </w:pPr>
      <w:r w:rsidRPr="00F13DC9">
        <w:rPr>
          <w:sz w:val="24"/>
          <w:szCs w:val="24"/>
        </w:rPr>
        <w:t>橡胶密封件应重点关注的金属离子包括但不限于钡、铜、镉、铅、锡、铬、铝。</w:t>
      </w:r>
    </w:p>
    <w:p w:rsidR="004035F4" w:rsidRPr="00F13DC9" w:rsidRDefault="00AE2352" w:rsidP="003C2FFD">
      <w:pPr>
        <w:spacing w:line="360" w:lineRule="auto"/>
        <w:ind w:firstLineChars="200" w:firstLine="480"/>
        <w:rPr>
          <w:sz w:val="24"/>
          <w:szCs w:val="24"/>
        </w:rPr>
      </w:pPr>
      <w:r w:rsidRPr="00F13DC9">
        <w:rPr>
          <w:sz w:val="24"/>
          <w:szCs w:val="24"/>
        </w:rPr>
        <w:t>取相当于总表面积</w:t>
      </w:r>
      <w:r w:rsidRPr="00F13DC9">
        <w:rPr>
          <w:sz w:val="24"/>
          <w:szCs w:val="24"/>
        </w:rPr>
        <w:t>200cm</w:t>
      </w:r>
      <w:r w:rsidRPr="00F13DC9">
        <w:rPr>
          <w:sz w:val="24"/>
          <w:szCs w:val="24"/>
          <w:vertAlign w:val="superscript"/>
        </w:rPr>
        <w:t>2</w:t>
      </w:r>
      <w:r w:rsidRPr="00F13DC9">
        <w:rPr>
          <w:sz w:val="24"/>
          <w:szCs w:val="24"/>
        </w:rPr>
        <w:t>的完整胶塞若干个，加水</w:t>
      </w:r>
      <w:r w:rsidRPr="00F13DC9">
        <w:rPr>
          <w:sz w:val="24"/>
          <w:szCs w:val="24"/>
        </w:rPr>
        <w:t>400ml</w:t>
      </w:r>
      <w:r w:rsidRPr="00F13DC9">
        <w:rPr>
          <w:sz w:val="24"/>
          <w:szCs w:val="24"/>
        </w:rPr>
        <w:t>，浸没胶塞，煮沸</w:t>
      </w:r>
      <w:r w:rsidRPr="00F13DC9">
        <w:rPr>
          <w:sz w:val="24"/>
          <w:szCs w:val="24"/>
        </w:rPr>
        <w:t>5</w:t>
      </w:r>
      <w:r w:rsidRPr="00F13DC9">
        <w:rPr>
          <w:sz w:val="24"/>
          <w:szCs w:val="24"/>
        </w:rPr>
        <w:t>分钟，放冷，再用同体积水冲洗</w:t>
      </w:r>
      <w:r w:rsidRPr="00F13DC9">
        <w:rPr>
          <w:sz w:val="24"/>
          <w:szCs w:val="24"/>
        </w:rPr>
        <w:t>5</w:t>
      </w:r>
      <w:r w:rsidRPr="00F13DC9">
        <w:rPr>
          <w:sz w:val="24"/>
          <w:szCs w:val="24"/>
        </w:rPr>
        <w:t>次，转移至锥形瓶，加水</w:t>
      </w:r>
      <w:r w:rsidRPr="00F13DC9">
        <w:rPr>
          <w:sz w:val="24"/>
          <w:szCs w:val="24"/>
        </w:rPr>
        <w:t>400ml</w:t>
      </w:r>
      <w:r w:rsidRPr="00F13DC9">
        <w:rPr>
          <w:sz w:val="24"/>
          <w:szCs w:val="24"/>
        </w:rPr>
        <w:t>，置高压蒸汽灭菌器中，</w:t>
      </w:r>
      <w:r w:rsidRPr="00F13DC9">
        <w:rPr>
          <w:sz w:val="24"/>
          <w:szCs w:val="24"/>
        </w:rPr>
        <w:t>121</w:t>
      </w:r>
      <w:r w:rsidRPr="00F13DC9">
        <w:rPr>
          <w:rFonts w:ascii="宋体" w:hAnsi="宋体" w:cs="宋体" w:hint="eastAsia"/>
          <w:sz w:val="24"/>
          <w:szCs w:val="24"/>
        </w:rPr>
        <w:t>℃</w:t>
      </w:r>
      <w:r w:rsidRPr="00F13DC9">
        <w:rPr>
          <w:sz w:val="24"/>
          <w:szCs w:val="24"/>
        </w:rPr>
        <w:t>保持</w:t>
      </w:r>
      <w:r w:rsidRPr="00F13DC9">
        <w:rPr>
          <w:sz w:val="24"/>
          <w:szCs w:val="24"/>
        </w:rPr>
        <w:t>30</w:t>
      </w:r>
      <w:r w:rsidRPr="00F13DC9">
        <w:rPr>
          <w:sz w:val="24"/>
          <w:szCs w:val="24"/>
        </w:rPr>
        <w:t>分钟，冷却至室温，即得供试品溶液。</w:t>
      </w:r>
      <w:r w:rsidRPr="00F13DC9">
        <w:rPr>
          <w:kern w:val="0"/>
          <w:sz w:val="24"/>
          <w:szCs w:val="24"/>
        </w:rPr>
        <w:t>同法制备空白溶液</w:t>
      </w:r>
      <w:r w:rsidRPr="00F13DC9">
        <w:rPr>
          <w:sz w:val="24"/>
          <w:szCs w:val="24"/>
        </w:rPr>
        <w:t>。</w:t>
      </w:r>
      <w:r w:rsidRPr="00F13DC9">
        <w:rPr>
          <w:kern w:val="0"/>
          <w:sz w:val="24"/>
          <w:szCs w:val="24"/>
        </w:rPr>
        <w:t>必要时用</w:t>
      </w:r>
      <w:r w:rsidRPr="00F13DC9">
        <w:rPr>
          <w:kern w:val="0"/>
          <w:sz w:val="24"/>
          <w:szCs w:val="24"/>
        </w:rPr>
        <w:t>0.45μm</w:t>
      </w:r>
      <w:r w:rsidRPr="00F13DC9">
        <w:rPr>
          <w:kern w:val="0"/>
          <w:sz w:val="24"/>
          <w:szCs w:val="24"/>
        </w:rPr>
        <w:t>微孔滤膜过滤。</w:t>
      </w:r>
    </w:p>
    <w:p w:rsidR="004035F4" w:rsidRPr="003C2FFD" w:rsidRDefault="00AE2352" w:rsidP="003C2FFD">
      <w:pPr>
        <w:autoSpaceDE w:val="0"/>
        <w:autoSpaceDN w:val="0"/>
        <w:adjustRightInd w:val="0"/>
        <w:spacing w:line="360" w:lineRule="auto"/>
        <w:jc w:val="center"/>
        <w:rPr>
          <w:b/>
          <w:bCs/>
          <w:sz w:val="24"/>
          <w:szCs w:val="24"/>
        </w:rPr>
      </w:pPr>
      <w:r w:rsidRPr="003C2FFD">
        <w:rPr>
          <w:b/>
          <w:bCs/>
          <w:sz w:val="24"/>
          <w:szCs w:val="24"/>
        </w:rPr>
        <w:t>第</w:t>
      </w:r>
      <w:r w:rsidR="002C6D27">
        <w:rPr>
          <w:rFonts w:hint="eastAsia"/>
          <w:b/>
          <w:bCs/>
          <w:sz w:val="24"/>
          <w:szCs w:val="24"/>
        </w:rPr>
        <w:t>二</w:t>
      </w:r>
      <w:r w:rsidRPr="003C2FFD">
        <w:rPr>
          <w:b/>
          <w:bCs/>
          <w:sz w:val="24"/>
          <w:szCs w:val="24"/>
        </w:rPr>
        <w:t>部分</w:t>
      </w:r>
      <w:r w:rsidRPr="003C2FFD">
        <w:rPr>
          <w:b/>
          <w:bCs/>
          <w:sz w:val="24"/>
          <w:szCs w:val="24"/>
        </w:rPr>
        <w:t xml:space="preserve">  </w:t>
      </w:r>
      <w:r w:rsidRPr="003C2FFD">
        <w:rPr>
          <w:b/>
          <w:bCs/>
          <w:sz w:val="24"/>
          <w:szCs w:val="24"/>
        </w:rPr>
        <w:t>标准溶液的制备</w:t>
      </w:r>
    </w:p>
    <w:p w:rsidR="004035F4" w:rsidRPr="00F13DC9" w:rsidRDefault="00AE2352" w:rsidP="003C2FFD">
      <w:pPr>
        <w:spacing w:line="360" w:lineRule="auto"/>
        <w:ind w:firstLineChars="200" w:firstLine="480"/>
        <w:rPr>
          <w:sz w:val="24"/>
          <w:szCs w:val="24"/>
        </w:rPr>
      </w:pPr>
      <w:r w:rsidRPr="00F13DC9">
        <w:rPr>
          <w:sz w:val="24"/>
          <w:szCs w:val="24"/>
        </w:rPr>
        <w:t>各品种按以下方法制备相应的标准溶液，标准溶液的介质和酸度应与供试品溶液一致，标准曲线应至少</w:t>
      </w:r>
      <w:r w:rsidRPr="00F13DC9">
        <w:rPr>
          <w:sz w:val="24"/>
          <w:szCs w:val="24"/>
        </w:rPr>
        <w:t>6</w:t>
      </w:r>
      <w:r w:rsidRPr="00F13DC9">
        <w:rPr>
          <w:sz w:val="24"/>
          <w:szCs w:val="24"/>
        </w:rPr>
        <w:t>个校正浓度水平（对下述未列出的金属元素、金属离子，必要时进行方法学验证）。可根据待测元素的含量合理调整标准系列溶液的浓度。</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第一类</w:t>
      </w:r>
      <w:r w:rsidR="003C2FFD">
        <w:rPr>
          <w:b/>
          <w:bCs/>
          <w:sz w:val="24"/>
          <w:szCs w:val="24"/>
        </w:rPr>
        <w:t xml:space="preserve"> </w:t>
      </w:r>
      <w:r w:rsidRPr="00F13DC9">
        <w:rPr>
          <w:b/>
          <w:bCs/>
          <w:sz w:val="24"/>
          <w:szCs w:val="24"/>
        </w:rPr>
        <w:t>塑料输液容器</w:t>
      </w:r>
    </w:p>
    <w:p w:rsidR="004035F4" w:rsidRPr="00F13DC9" w:rsidRDefault="00AE2352" w:rsidP="003C2FFD">
      <w:pPr>
        <w:spacing w:line="360" w:lineRule="auto"/>
        <w:ind w:firstLineChars="200" w:firstLine="480"/>
        <w:rPr>
          <w:sz w:val="24"/>
          <w:szCs w:val="24"/>
        </w:rPr>
      </w:pPr>
      <w:r w:rsidRPr="00F13DC9">
        <w:rPr>
          <w:sz w:val="24"/>
          <w:szCs w:val="24"/>
        </w:rPr>
        <w:t>分别精密量取钡、铜、镉、铅、锡、铬、铝标准品溶液适量，用适宜的介质稀释成不同浓度的标准系列溶液。</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第二类</w:t>
      </w:r>
      <w:r w:rsidR="003C2FFD">
        <w:rPr>
          <w:b/>
          <w:bCs/>
          <w:sz w:val="24"/>
          <w:szCs w:val="24"/>
        </w:rPr>
        <w:t xml:space="preserve"> </w:t>
      </w:r>
      <w:r w:rsidRPr="00F13DC9">
        <w:rPr>
          <w:b/>
          <w:bCs/>
          <w:sz w:val="24"/>
          <w:szCs w:val="24"/>
        </w:rPr>
        <w:t>玻璃</w:t>
      </w:r>
    </w:p>
    <w:p w:rsidR="004035F4" w:rsidRPr="00F13DC9" w:rsidRDefault="00AE2352" w:rsidP="003C2FFD">
      <w:pPr>
        <w:spacing w:line="360" w:lineRule="auto"/>
        <w:ind w:firstLineChars="200" w:firstLine="480"/>
        <w:rPr>
          <w:sz w:val="24"/>
          <w:szCs w:val="24"/>
        </w:rPr>
      </w:pPr>
      <w:r w:rsidRPr="00F13DC9">
        <w:rPr>
          <w:sz w:val="24"/>
          <w:szCs w:val="24"/>
        </w:rPr>
        <w:lastRenderedPageBreak/>
        <w:t>分别精密量取</w:t>
      </w:r>
      <w:r w:rsidRPr="00F13DC9">
        <w:rPr>
          <w:color w:val="000000"/>
          <w:sz w:val="24"/>
          <w:szCs w:val="24"/>
        </w:rPr>
        <w:t>砷、锑、铅、镉标准品</w:t>
      </w:r>
      <w:r w:rsidRPr="00F13DC9">
        <w:rPr>
          <w:sz w:val="24"/>
          <w:szCs w:val="24"/>
        </w:rPr>
        <w:t>溶液适量，</w:t>
      </w:r>
      <w:r w:rsidRPr="00F13DC9">
        <w:rPr>
          <w:color w:val="000000"/>
          <w:sz w:val="24"/>
          <w:szCs w:val="24"/>
        </w:rPr>
        <w:t>用</w:t>
      </w:r>
      <w:r w:rsidRPr="00F13DC9">
        <w:rPr>
          <w:color w:val="000000"/>
          <w:sz w:val="24"/>
          <w:szCs w:val="24"/>
        </w:rPr>
        <w:t>4%</w:t>
      </w:r>
      <w:r w:rsidRPr="00F13DC9">
        <w:rPr>
          <w:color w:val="000000"/>
          <w:sz w:val="24"/>
          <w:szCs w:val="24"/>
        </w:rPr>
        <w:t>醋酸溶液稀释成不</w:t>
      </w:r>
      <w:r w:rsidRPr="00F13DC9">
        <w:rPr>
          <w:sz w:val="24"/>
          <w:szCs w:val="24"/>
        </w:rPr>
        <w:t>同浓度的标准系列溶液。</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第三类</w:t>
      </w:r>
      <w:r w:rsidR="003C2FFD">
        <w:rPr>
          <w:b/>
          <w:bCs/>
          <w:sz w:val="24"/>
          <w:szCs w:val="24"/>
        </w:rPr>
        <w:t xml:space="preserve"> </w:t>
      </w:r>
      <w:r w:rsidRPr="00F13DC9">
        <w:rPr>
          <w:b/>
          <w:bCs/>
          <w:sz w:val="24"/>
          <w:szCs w:val="24"/>
        </w:rPr>
        <w:t>橡胶密封件</w:t>
      </w:r>
    </w:p>
    <w:p w:rsidR="004035F4" w:rsidRPr="00F13DC9" w:rsidRDefault="00AE2352" w:rsidP="003C2FFD">
      <w:pPr>
        <w:spacing w:line="360" w:lineRule="auto"/>
        <w:ind w:firstLineChars="200" w:firstLine="480"/>
        <w:rPr>
          <w:color w:val="FF0000"/>
          <w:sz w:val="24"/>
          <w:szCs w:val="24"/>
        </w:rPr>
      </w:pPr>
      <w:r w:rsidRPr="00F13DC9">
        <w:rPr>
          <w:sz w:val="24"/>
          <w:szCs w:val="24"/>
        </w:rPr>
        <w:t>分别精密量取钡、铜、镉、铅、锡、铬、铝标准品溶液适量，用适宜的介质稀释成不同浓度的标准系列溶液。</w:t>
      </w:r>
    </w:p>
    <w:p w:rsidR="004035F4" w:rsidRPr="003C2FFD" w:rsidRDefault="00AE2352" w:rsidP="003C2FFD">
      <w:pPr>
        <w:autoSpaceDE w:val="0"/>
        <w:autoSpaceDN w:val="0"/>
        <w:adjustRightInd w:val="0"/>
        <w:spacing w:line="360" w:lineRule="auto"/>
        <w:jc w:val="center"/>
        <w:rPr>
          <w:b/>
          <w:bCs/>
          <w:sz w:val="24"/>
          <w:szCs w:val="24"/>
        </w:rPr>
      </w:pPr>
      <w:r w:rsidRPr="003C2FFD">
        <w:rPr>
          <w:b/>
          <w:bCs/>
          <w:sz w:val="24"/>
          <w:szCs w:val="24"/>
        </w:rPr>
        <w:t>第</w:t>
      </w:r>
      <w:r w:rsidR="002C6D27">
        <w:rPr>
          <w:rFonts w:hint="eastAsia"/>
          <w:b/>
          <w:bCs/>
          <w:sz w:val="24"/>
          <w:szCs w:val="24"/>
        </w:rPr>
        <w:t>三</w:t>
      </w:r>
      <w:r w:rsidRPr="003C2FFD">
        <w:rPr>
          <w:b/>
          <w:bCs/>
          <w:sz w:val="24"/>
          <w:szCs w:val="24"/>
        </w:rPr>
        <w:t>部分</w:t>
      </w:r>
      <w:r w:rsidRPr="003C2FFD">
        <w:rPr>
          <w:b/>
          <w:bCs/>
          <w:sz w:val="24"/>
          <w:szCs w:val="24"/>
        </w:rPr>
        <w:t xml:space="preserve">  </w:t>
      </w:r>
      <w:r w:rsidRPr="003C2FFD">
        <w:rPr>
          <w:b/>
          <w:bCs/>
          <w:sz w:val="24"/>
          <w:szCs w:val="24"/>
        </w:rPr>
        <w:t>测定法</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第一法</w:t>
      </w:r>
      <w:r w:rsidR="003C2FFD">
        <w:rPr>
          <w:b/>
          <w:bCs/>
          <w:sz w:val="24"/>
          <w:szCs w:val="24"/>
        </w:rPr>
        <w:t xml:space="preserve"> </w:t>
      </w:r>
      <w:r w:rsidRPr="00F13DC9">
        <w:rPr>
          <w:b/>
          <w:bCs/>
          <w:sz w:val="24"/>
          <w:szCs w:val="24"/>
        </w:rPr>
        <w:t>电感耦合等离子体质谱法</w:t>
      </w:r>
      <w:r w:rsidRPr="00F13DC9">
        <w:rPr>
          <w:b/>
          <w:bCs/>
          <w:sz w:val="24"/>
          <w:szCs w:val="24"/>
        </w:rPr>
        <w:t>(ICP-MS)</w:t>
      </w:r>
    </w:p>
    <w:p w:rsidR="004035F4" w:rsidRPr="00F13DC9" w:rsidRDefault="00AE2352" w:rsidP="003C2FFD">
      <w:pPr>
        <w:spacing w:line="360" w:lineRule="auto"/>
        <w:ind w:firstLineChars="200" w:firstLine="480"/>
        <w:rPr>
          <w:sz w:val="24"/>
          <w:szCs w:val="24"/>
        </w:rPr>
      </w:pPr>
      <w:r w:rsidRPr="00F13DC9">
        <w:rPr>
          <w:sz w:val="24"/>
          <w:szCs w:val="24"/>
        </w:rPr>
        <w:t>照电感耦合等离子体质谱法（通则</w:t>
      </w:r>
      <w:r w:rsidRPr="00F13DC9">
        <w:rPr>
          <w:sz w:val="24"/>
          <w:szCs w:val="24"/>
        </w:rPr>
        <w:t>0412</w:t>
      </w:r>
      <w:r w:rsidRPr="00F13DC9">
        <w:rPr>
          <w:sz w:val="24"/>
          <w:szCs w:val="24"/>
        </w:rPr>
        <w:t>）测定。</w:t>
      </w:r>
    </w:p>
    <w:p w:rsidR="004035F4" w:rsidRPr="00F13DC9" w:rsidRDefault="00AE2352" w:rsidP="003C2FFD">
      <w:pPr>
        <w:spacing w:line="360" w:lineRule="auto"/>
        <w:ind w:firstLineChars="200" w:firstLine="480"/>
        <w:rPr>
          <w:sz w:val="24"/>
          <w:szCs w:val="24"/>
        </w:rPr>
      </w:pPr>
      <w:r w:rsidRPr="00F13DC9">
        <w:rPr>
          <w:sz w:val="24"/>
          <w:szCs w:val="24"/>
        </w:rPr>
        <w:t>本法可用于钡、铜、镉、铅、锡、铬、铝、砷、锑的同时测定。</w:t>
      </w:r>
    </w:p>
    <w:p w:rsidR="004035F4" w:rsidRPr="00F13DC9" w:rsidRDefault="00AE2352" w:rsidP="003C2FFD">
      <w:pPr>
        <w:spacing w:line="360" w:lineRule="auto"/>
        <w:ind w:firstLineChars="200" w:firstLine="480"/>
        <w:rPr>
          <w:sz w:val="24"/>
          <w:szCs w:val="24"/>
        </w:rPr>
      </w:pPr>
      <w:r w:rsidRPr="00F13DC9">
        <w:rPr>
          <w:sz w:val="24"/>
          <w:szCs w:val="24"/>
        </w:rPr>
        <w:t>仪器应符合使用要求。工作参数根据具体情况进行优化。注意保持供试品、标准品及内标溶液的介质一致。</w:t>
      </w:r>
    </w:p>
    <w:p w:rsidR="004035F4" w:rsidRPr="00F13DC9" w:rsidRDefault="00AE2352" w:rsidP="003C2FFD">
      <w:pPr>
        <w:spacing w:line="360" w:lineRule="auto"/>
        <w:ind w:firstLineChars="200" w:firstLine="480"/>
        <w:rPr>
          <w:sz w:val="24"/>
          <w:szCs w:val="24"/>
        </w:rPr>
      </w:pPr>
      <w:r w:rsidRPr="00F13DC9">
        <w:rPr>
          <w:sz w:val="24"/>
          <w:szCs w:val="24"/>
        </w:rPr>
        <w:t>测定时宜选用与待测元素质量数接近，电离能与待测元素电离能相近，且对待测元素无干扰的元素作为内标。必要时根据不同仪器的要求选用适宜校正方程对待测元素进行校正。</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第二法</w:t>
      </w:r>
      <w:r w:rsidR="003C2FFD">
        <w:rPr>
          <w:b/>
          <w:bCs/>
          <w:sz w:val="24"/>
          <w:szCs w:val="24"/>
        </w:rPr>
        <w:t xml:space="preserve"> </w:t>
      </w:r>
      <w:r w:rsidRPr="00F13DC9">
        <w:rPr>
          <w:b/>
          <w:bCs/>
          <w:sz w:val="24"/>
          <w:szCs w:val="24"/>
        </w:rPr>
        <w:t>电感耦合等离子体原子发射光谱法</w:t>
      </w:r>
      <w:r w:rsidRPr="00F13DC9">
        <w:rPr>
          <w:b/>
          <w:bCs/>
          <w:sz w:val="24"/>
          <w:szCs w:val="24"/>
        </w:rPr>
        <w:t>(ICP-OES)</w:t>
      </w:r>
    </w:p>
    <w:p w:rsidR="004035F4" w:rsidRPr="00F13DC9" w:rsidRDefault="00AE2352" w:rsidP="003C2FFD">
      <w:pPr>
        <w:spacing w:line="360" w:lineRule="auto"/>
        <w:ind w:firstLineChars="200" w:firstLine="480"/>
        <w:rPr>
          <w:sz w:val="24"/>
          <w:szCs w:val="24"/>
        </w:rPr>
      </w:pPr>
      <w:r w:rsidRPr="00F13DC9">
        <w:rPr>
          <w:sz w:val="24"/>
          <w:szCs w:val="24"/>
        </w:rPr>
        <w:t>照电感耦合等离子体原子发射光谱法（通则</w:t>
      </w:r>
      <w:r w:rsidRPr="00F13DC9">
        <w:rPr>
          <w:sz w:val="24"/>
          <w:szCs w:val="24"/>
        </w:rPr>
        <w:t>0411</w:t>
      </w:r>
      <w:r w:rsidRPr="00F13DC9">
        <w:rPr>
          <w:sz w:val="24"/>
          <w:szCs w:val="24"/>
        </w:rPr>
        <w:t>）测定。</w:t>
      </w:r>
    </w:p>
    <w:p w:rsidR="004035F4" w:rsidRPr="00F13DC9" w:rsidRDefault="00AE2352" w:rsidP="003C2FFD">
      <w:pPr>
        <w:spacing w:line="360" w:lineRule="auto"/>
        <w:ind w:firstLineChars="200" w:firstLine="480"/>
        <w:rPr>
          <w:bCs/>
          <w:sz w:val="24"/>
          <w:szCs w:val="24"/>
        </w:rPr>
      </w:pPr>
      <w:r w:rsidRPr="00F13DC9">
        <w:rPr>
          <w:sz w:val="24"/>
          <w:szCs w:val="24"/>
        </w:rPr>
        <w:t>本法可用于钡、铜、镉、铅、锡、铬、铝、砷、锑的同时测</w:t>
      </w:r>
      <w:r w:rsidRPr="00F13DC9">
        <w:rPr>
          <w:bCs/>
          <w:sz w:val="24"/>
          <w:szCs w:val="24"/>
        </w:rPr>
        <w:t>定。</w:t>
      </w:r>
    </w:p>
    <w:p w:rsidR="004035F4" w:rsidRPr="00F13DC9" w:rsidRDefault="00AE2352" w:rsidP="003C2FFD">
      <w:pPr>
        <w:spacing w:line="360" w:lineRule="auto"/>
        <w:ind w:firstLineChars="200" w:firstLine="480"/>
        <w:rPr>
          <w:sz w:val="24"/>
          <w:szCs w:val="24"/>
        </w:rPr>
      </w:pPr>
      <w:r w:rsidRPr="00F13DC9">
        <w:rPr>
          <w:bCs/>
          <w:sz w:val="24"/>
          <w:szCs w:val="24"/>
        </w:rPr>
        <w:t>仪器应符合使用要求。工作参数根据具体情况进行优化。</w:t>
      </w:r>
      <w:r w:rsidRPr="00F13DC9">
        <w:rPr>
          <w:bCs/>
          <w:color w:val="000000"/>
          <w:sz w:val="24"/>
          <w:szCs w:val="24"/>
        </w:rPr>
        <w:t>应根据实际情况选</w:t>
      </w:r>
      <w:r w:rsidRPr="00F13DC9">
        <w:rPr>
          <w:sz w:val="24"/>
          <w:szCs w:val="24"/>
        </w:rPr>
        <w:t>择干扰少、灵敏度高的分析谱线。</w:t>
      </w:r>
    </w:p>
    <w:p w:rsidR="004035F4" w:rsidRPr="00F13DC9" w:rsidRDefault="00AE2352" w:rsidP="003C2FFD">
      <w:pPr>
        <w:autoSpaceDE w:val="0"/>
        <w:autoSpaceDN w:val="0"/>
        <w:adjustRightInd w:val="0"/>
        <w:spacing w:line="360" w:lineRule="auto"/>
        <w:ind w:firstLineChars="200" w:firstLine="482"/>
        <w:jc w:val="left"/>
        <w:rPr>
          <w:b/>
          <w:bCs/>
          <w:sz w:val="24"/>
          <w:szCs w:val="24"/>
        </w:rPr>
      </w:pPr>
      <w:r w:rsidRPr="00F13DC9">
        <w:rPr>
          <w:b/>
          <w:bCs/>
          <w:sz w:val="24"/>
          <w:szCs w:val="24"/>
        </w:rPr>
        <w:t>第三法</w:t>
      </w:r>
      <w:r w:rsidR="003C2FFD">
        <w:rPr>
          <w:b/>
          <w:bCs/>
          <w:sz w:val="24"/>
          <w:szCs w:val="24"/>
        </w:rPr>
        <w:t xml:space="preserve"> </w:t>
      </w:r>
      <w:r w:rsidRPr="00F13DC9">
        <w:rPr>
          <w:b/>
          <w:bCs/>
          <w:sz w:val="24"/>
          <w:szCs w:val="24"/>
        </w:rPr>
        <w:t>原子吸收分光光度法</w:t>
      </w:r>
    </w:p>
    <w:p w:rsidR="004035F4" w:rsidRPr="00F13DC9" w:rsidRDefault="00AE2352" w:rsidP="003C2FFD">
      <w:pPr>
        <w:spacing w:line="360" w:lineRule="auto"/>
        <w:ind w:firstLineChars="200" w:firstLine="480"/>
        <w:rPr>
          <w:sz w:val="24"/>
          <w:szCs w:val="24"/>
        </w:rPr>
      </w:pPr>
      <w:r w:rsidRPr="00F13DC9">
        <w:rPr>
          <w:sz w:val="24"/>
          <w:szCs w:val="24"/>
        </w:rPr>
        <w:t>照原子吸收分光光度法（通则</w:t>
      </w:r>
      <w:r w:rsidRPr="00F13DC9">
        <w:rPr>
          <w:sz w:val="24"/>
          <w:szCs w:val="24"/>
        </w:rPr>
        <w:t>0406</w:t>
      </w:r>
      <w:r w:rsidRPr="00F13DC9">
        <w:rPr>
          <w:sz w:val="24"/>
          <w:szCs w:val="24"/>
        </w:rPr>
        <w:t>）测定。</w:t>
      </w:r>
    </w:p>
    <w:p w:rsidR="004035F4" w:rsidRPr="003C2FFD" w:rsidRDefault="00AE2352" w:rsidP="003C2FFD">
      <w:pPr>
        <w:autoSpaceDE w:val="0"/>
        <w:autoSpaceDN w:val="0"/>
        <w:adjustRightInd w:val="0"/>
        <w:spacing w:line="360" w:lineRule="auto"/>
        <w:ind w:firstLineChars="200" w:firstLine="482"/>
        <w:jc w:val="left"/>
        <w:rPr>
          <w:b/>
          <w:color w:val="000000"/>
          <w:sz w:val="24"/>
          <w:szCs w:val="24"/>
        </w:rPr>
      </w:pPr>
      <w:r w:rsidRPr="003C2FFD">
        <w:rPr>
          <w:b/>
          <w:color w:val="000000"/>
          <w:sz w:val="24"/>
          <w:szCs w:val="24"/>
        </w:rPr>
        <w:t>1</w:t>
      </w:r>
      <w:r w:rsidR="003C2FFD">
        <w:rPr>
          <w:rFonts w:hint="eastAsia"/>
          <w:b/>
          <w:color w:val="000000"/>
          <w:sz w:val="24"/>
          <w:szCs w:val="24"/>
        </w:rPr>
        <w:t>.</w:t>
      </w:r>
      <w:r w:rsidR="003C2FFD">
        <w:rPr>
          <w:b/>
          <w:color w:val="000000"/>
          <w:sz w:val="24"/>
          <w:szCs w:val="24"/>
        </w:rPr>
        <w:t xml:space="preserve"> </w:t>
      </w:r>
      <w:r w:rsidRPr="003C2FFD">
        <w:rPr>
          <w:b/>
          <w:color w:val="000000"/>
          <w:sz w:val="24"/>
          <w:szCs w:val="24"/>
        </w:rPr>
        <w:t>火焰原子吸收分光光度法</w:t>
      </w:r>
    </w:p>
    <w:p w:rsidR="004035F4" w:rsidRPr="00F13DC9" w:rsidRDefault="00AE2352" w:rsidP="003C2FFD">
      <w:pPr>
        <w:spacing w:line="360" w:lineRule="auto"/>
        <w:ind w:firstLineChars="200" w:firstLine="480"/>
        <w:rPr>
          <w:bCs/>
          <w:sz w:val="24"/>
          <w:szCs w:val="24"/>
        </w:rPr>
      </w:pPr>
      <w:r w:rsidRPr="00F13DC9">
        <w:rPr>
          <w:bCs/>
          <w:sz w:val="24"/>
          <w:szCs w:val="24"/>
        </w:rPr>
        <w:t>本法可用于钡、铜、镉、铅、</w:t>
      </w:r>
      <w:r w:rsidRPr="00F13DC9">
        <w:rPr>
          <w:sz w:val="24"/>
          <w:szCs w:val="24"/>
        </w:rPr>
        <w:t>铬、</w:t>
      </w:r>
      <w:r w:rsidRPr="00F13DC9">
        <w:rPr>
          <w:bCs/>
          <w:sz w:val="24"/>
          <w:szCs w:val="24"/>
        </w:rPr>
        <w:t>砷、锑元素的测定。</w:t>
      </w:r>
    </w:p>
    <w:p w:rsidR="004035F4" w:rsidRPr="00F13DC9" w:rsidRDefault="00AE2352" w:rsidP="003C2FFD">
      <w:pPr>
        <w:spacing w:line="360" w:lineRule="auto"/>
        <w:ind w:firstLineChars="200" w:firstLine="480"/>
        <w:rPr>
          <w:bCs/>
          <w:sz w:val="24"/>
          <w:szCs w:val="24"/>
        </w:rPr>
      </w:pPr>
      <w:r w:rsidRPr="00F13DC9">
        <w:rPr>
          <w:bCs/>
          <w:sz w:val="24"/>
          <w:szCs w:val="24"/>
        </w:rPr>
        <w:t>参考分析谱线分别为：</w:t>
      </w:r>
    </w:p>
    <w:p w:rsidR="004035F4" w:rsidRPr="00F13DC9" w:rsidRDefault="00AE2352" w:rsidP="003C2FFD">
      <w:pPr>
        <w:spacing w:line="360" w:lineRule="auto"/>
        <w:rPr>
          <w:bCs/>
          <w:sz w:val="24"/>
          <w:szCs w:val="24"/>
        </w:rPr>
      </w:pPr>
      <w:r w:rsidRPr="00F13DC9">
        <w:rPr>
          <w:bCs/>
          <w:sz w:val="24"/>
          <w:szCs w:val="24"/>
        </w:rPr>
        <w:t>钡：</w:t>
      </w:r>
      <w:r w:rsidRPr="00F13DC9">
        <w:rPr>
          <w:bCs/>
          <w:sz w:val="24"/>
          <w:szCs w:val="24"/>
        </w:rPr>
        <w:t>553.6nm</w:t>
      </w:r>
      <w:r w:rsidRPr="00F13DC9">
        <w:rPr>
          <w:bCs/>
          <w:sz w:val="24"/>
          <w:szCs w:val="24"/>
        </w:rPr>
        <w:t>；铜：</w:t>
      </w:r>
      <w:r w:rsidRPr="00F13DC9">
        <w:rPr>
          <w:bCs/>
          <w:sz w:val="24"/>
          <w:szCs w:val="24"/>
        </w:rPr>
        <w:t>324.7nm</w:t>
      </w:r>
      <w:r w:rsidRPr="00F13DC9">
        <w:rPr>
          <w:bCs/>
          <w:sz w:val="24"/>
          <w:szCs w:val="24"/>
        </w:rPr>
        <w:t>；镉：</w:t>
      </w:r>
      <w:r w:rsidRPr="00F13DC9">
        <w:rPr>
          <w:bCs/>
          <w:sz w:val="24"/>
          <w:szCs w:val="24"/>
        </w:rPr>
        <w:t>228.8nm</w:t>
      </w:r>
      <w:r w:rsidRPr="00F13DC9">
        <w:rPr>
          <w:bCs/>
          <w:sz w:val="24"/>
          <w:szCs w:val="24"/>
        </w:rPr>
        <w:t>；铅：</w:t>
      </w:r>
      <w:r w:rsidRPr="00F13DC9">
        <w:rPr>
          <w:bCs/>
          <w:sz w:val="24"/>
          <w:szCs w:val="24"/>
        </w:rPr>
        <w:t>217.0nm</w:t>
      </w:r>
      <w:r w:rsidRPr="00F13DC9">
        <w:rPr>
          <w:bCs/>
          <w:sz w:val="24"/>
          <w:szCs w:val="24"/>
        </w:rPr>
        <w:t>；</w:t>
      </w:r>
      <w:r w:rsidRPr="00F13DC9">
        <w:rPr>
          <w:sz w:val="24"/>
          <w:szCs w:val="24"/>
        </w:rPr>
        <w:t>铬：</w:t>
      </w:r>
      <w:r w:rsidRPr="00F13DC9">
        <w:rPr>
          <w:bCs/>
          <w:sz w:val="24"/>
          <w:szCs w:val="24"/>
        </w:rPr>
        <w:t>357.9nm</w:t>
      </w:r>
      <w:r w:rsidRPr="00F13DC9">
        <w:rPr>
          <w:bCs/>
          <w:sz w:val="24"/>
          <w:szCs w:val="24"/>
        </w:rPr>
        <w:t>；</w:t>
      </w:r>
    </w:p>
    <w:p w:rsidR="004035F4" w:rsidRPr="00F13DC9" w:rsidRDefault="00AE2352" w:rsidP="003C2FFD">
      <w:pPr>
        <w:spacing w:line="360" w:lineRule="auto"/>
        <w:rPr>
          <w:bCs/>
          <w:sz w:val="24"/>
          <w:szCs w:val="24"/>
        </w:rPr>
      </w:pPr>
      <w:r w:rsidRPr="00F13DC9">
        <w:rPr>
          <w:sz w:val="24"/>
          <w:szCs w:val="24"/>
        </w:rPr>
        <w:t>砷：</w:t>
      </w:r>
      <w:r w:rsidRPr="00F13DC9">
        <w:rPr>
          <w:sz w:val="24"/>
          <w:szCs w:val="24"/>
        </w:rPr>
        <w:t>197.3nm</w:t>
      </w:r>
      <w:r w:rsidRPr="00F13DC9">
        <w:rPr>
          <w:sz w:val="24"/>
          <w:szCs w:val="24"/>
        </w:rPr>
        <w:t>；</w:t>
      </w:r>
      <w:r w:rsidRPr="00F13DC9">
        <w:rPr>
          <w:bCs/>
          <w:sz w:val="24"/>
          <w:szCs w:val="24"/>
        </w:rPr>
        <w:t>锑：</w:t>
      </w:r>
      <w:r w:rsidRPr="00F13DC9">
        <w:rPr>
          <w:bCs/>
          <w:sz w:val="24"/>
          <w:szCs w:val="24"/>
        </w:rPr>
        <w:t>217.4nm</w:t>
      </w:r>
      <w:r w:rsidRPr="00F13DC9">
        <w:rPr>
          <w:bCs/>
          <w:sz w:val="24"/>
          <w:szCs w:val="24"/>
        </w:rPr>
        <w:t>。</w:t>
      </w:r>
    </w:p>
    <w:p w:rsidR="004035F4" w:rsidRPr="003C2FFD" w:rsidRDefault="00AE2352" w:rsidP="003C2FFD">
      <w:pPr>
        <w:autoSpaceDE w:val="0"/>
        <w:autoSpaceDN w:val="0"/>
        <w:adjustRightInd w:val="0"/>
        <w:spacing w:line="360" w:lineRule="auto"/>
        <w:ind w:firstLineChars="200" w:firstLine="482"/>
        <w:jc w:val="left"/>
        <w:rPr>
          <w:b/>
          <w:color w:val="000000"/>
          <w:sz w:val="24"/>
          <w:szCs w:val="24"/>
        </w:rPr>
      </w:pPr>
      <w:r w:rsidRPr="003C2FFD">
        <w:rPr>
          <w:b/>
          <w:color w:val="000000"/>
          <w:sz w:val="24"/>
          <w:szCs w:val="24"/>
        </w:rPr>
        <w:t>2</w:t>
      </w:r>
      <w:r w:rsidR="003C2FFD">
        <w:rPr>
          <w:rFonts w:hint="eastAsia"/>
          <w:b/>
          <w:color w:val="000000"/>
          <w:sz w:val="24"/>
          <w:szCs w:val="24"/>
        </w:rPr>
        <w:t xml:space="preserve">. </w:t>
      </w:r>
      <w:r w:rsidRPr="003C2FFD">
        <w:rPr>
          <w:b/>
          <w:color w:val="000000"/>
          <w:sz w:val="24"/>
          <w:szCs w:val="24"/>
        </w:rPr>
        <w:t>石墨炉原子吸收分光光度法</w:t>
      </w:r>
    </w:p>
    <w:p w:rsidR="004035F4" w:rsidRPr="00F13DC9" w:rsidRDefault="00AE2352" w:rsidP="003C2FFD">
      <w:pPr>
        <w:spacing w:line="360" w:lineRule="auto"/>
        <w:ind w:firstLineChars="200" w:firstLine="480"/>
        <w:rPr>
          <w:bCs/>
          <w:sz w:val="24"/>
          <w:szCs w:val="24"/>
        </w:rPr>
      </w:pPr>
      <w:r w:rsidRPr="00F13DC9">
        <w:rPr>
          <w:bCs/>
          <w:sz w:val="24"/>
          <w:szCs w:val="24"/>
        </w:rPr>
        <w:t>本法可用于</w:t>
      </w:r>
      <w:r w:rsidRPr="00F13DC9">
        <w:rPr>
          <w:sz w:val="24"/>
          <w:szCs w:val="24"/>
        </w:rPr>
        <w:t>钡、</w:t>
      </w:r>
      <w:r w:rsidRPr="00F13DC9">
        <w:rPr>
          <w:bCs/>
          <w:sz w:val="24"/>
          <w:szCs w:val="24"/>
        </w:rPr>
        <w:t>铜、</w:t>
      </w:r>
      <w:r w:rsidRPr="00F13DC9">
        <w:rPr>
          <w:sz w:val="24"/>
          <w:szCs w:val="24"/>
        </w:rPr>
        <w:t>镉、铅、锡、铬、铝、砷、锑元素的测定。</w:t>
      </w:r>
    </w:p>
    <w:p w:rsidR="004035F4" w:rsidRPr="00F13DC9" w:rsidRDefault="00AE2352" w:rsidP="003C2FFD">
      <w:pPr>
        <w:spacing w:line="360" w:lineRule="auto"/>
        <w:ind w:firstLineChars="200" w:firstLine="480"/>
        <w:rPr>
          <w:bCs/>
          <w:sz w:val="24"/>
          <w:szCs w:val="24"/>
        </w:rPr>
      </w:pPr>
      <w:r w:rsidRPr="00F13DC9">
        <w:rPr>
          <w:bCs/>
          <w:sz w:val="24"/>
          <w:szCs w:val="24"/>
        </w:rPr>
        <w:t>参考分析谱线分别为：（必要时，使用适宜的基体改进剂）</w:t>
      </w:r>
    </w:p>
    <w:p w:rsidR="004035F4" w:rsidRPr="00F13DC9" w:rsidRDefault="00AE2352" w:rsidP="003C2FFD">
      <w:pPr>
        <w:spacing w:line="360" w:lineRule="auto"/>
        <w:rPr>
          <w:bCs/>
          <w:sz w:val="24"/>
          <w:szCs w:val="24"/>
        </w:rPr>
      </w:pPr>
      <w:r w:rsidRPr="00F13DC9">
        <w:rPr>
          <w:sz w:val="24"/>
          <w:szCs w:val="24"/>
        </w:rPr>
        <w:lastRenderedPageBreak/>
        <w:t>钡：</w:t>
      </w:r>
      <w:r w:rsidRPr="00F13DC9">
        <w:rPr>
          <w:sz w:val="24"/>
          <w:szCs w:val="24"/>
        </w:rPr>
        <w:t>553.6nm</w:t>
      </w:r>
      <w:r w:rsidRPr="00F13DC9">
        <w:rPr>
          <w:sz w:val="24"/>
          <w:szCs w:val="24"/>
        </w:rPr>
        <w:t>；</w:t>
      </w:r>
      <w:r w:rsidRPr="00F13DC9">
        <w:rPr>
          <w:bCs/>
          <w:sz w:val="24"/>
          <w:szCs w:val="24"/>
        </w:rPr>
        <w:t>铜：</w:t>
      </w:r>
      <w:r w:rsidRPr="00F13DC9">
        <w:rPr>
          <w:bCs/>
          <w:sz w:val="24"/>
          <w:szCs w:val="24"/>
        </w:rPr>
        <w:t>324.7nm</w:t>
      </w:r>
      <w:r w:rsidRPr="00F13DC9">
        <w:rPr>
          <w:bCs/>
          <w:sz w:val="24"/>
          <w:szCs w:val="24"/>
        </w:rPr>
        <w:t>；</w:t>
      </w:r>
      <w:r w:rsidRPr="00F13DC9">
        <w:rPr>
          <w:sz w:val="24"/>
          <w:szCs w:val="24"/>
        </w:rPr>
        <w:t>镉：</w:t>
      </w:r>
      <w:r w:rsidRPr="00F13DC9">
        <w:rPr>
          <w:bCs/>
          <w:color w:val="000000"/>
          <w:sz w:val="24"/>
          <w:szCs w:val="24"/>
        </w:rPr>
        <w:t>228.8nm</w:t>
      </w:r>
      <w:r w:rsidRPr="00F13DC9">
        <w:rPr>
          <w:bCs/>
          <w:color w:val="000000"/>
          <w:sz w:val="24"/>
          <w:szCs w:val="24"/>
        </w:rPr>
        <w:t>；</w:t>
      </w:r>
      <w:r w:rsidRPr="00F13DC9">
        <w:rPr>
          <w:bCs/>
          <w:sz w:val="24"/>
          <w:szCs w:val="24"/>
        </w:rPr>
        <w:t>铅：</w:t>
      </w:r>
      <w:r w:rsidRPr="00F13DC9">
        <w:rPr>
          <w:bCs/>
          <w:sz w:val="24"/>
          <w:szCs w:val="24"/>
        </w:rPr>
        <w:t>217.0nm</w:t>
      </w:r>
      <w:r w:rsidRPr="00F13DC9">
        <w:rPr>
          <w:bCs/>
          <w:sz w:val="24"/>
          <w:szCs w:val="24"/>
        </w:rPr>
        <w:t>或</w:t>
      </w:r>
      <w:r w:rsidRPr="00F13DC9">
        <w:rPr>
          <w:bCs/>
          <w:sz w:val="24"/>
          <w:szCs w:val="24"/>
        </w:rPr>
        <w:t>283.3nm</w:t>
      </w:r>
      <w:r w:rsidRPr="00F13DC9">
        <w:rPr>
          <w:bCs/>
          <w:sz w:val="24"/>
          <w:szCs w:val="24"/>
        </w:rPr>
        <w:t>；</w:t>
      </w:r>
    </w:p>
    <w:p w:rsidR="004035F4" w:rsidRPr="00F13DC9" w:rsidRDefault="00AE2352" w:rsidP="003C2FFD">
      <w:pPr>
        <w:spacing w:line="360" w:lineRule="auto"/>
        <w:rPr>
          <w:bCs/>
          <w:color w:val="000000"/>
          <w:sz w:val="24"/>
          <w:szCs w:val="24"/>
        </w:rPr>
      </w:pPr>
      <w:r w:rsidRPr="00F13DC9">
        <w:rPr>
          <w:bCs/>
          <w:sz w:val="24"/>
          <w:szCs w:val="24"/>
        </w:rPr>
        <w:t>锡：</w:t>
      </w:r>
      <w:r w:rsidRPr="00F13DC9">
        <w:rPr>
          <w:bCs/>
          <w:sz w:val="24"/>
          <w:szCs w:val="24"/>
        </w:rPr>
        <w:t>286.3nm</w:t>
      </w:r>
      <w:r w:rsidRPr="00F13DC9">
        <w:rPr>
          <w:spacing w:val="-4"/>
          <w:sz w:val="24"/>
          <w:szCs w:val="22"/>
        </w:rPr>
        <w:t>或</w:t>
      </w:r>
      <w:r w:rsidRPr="00F13DC9">
        <w:rPr>
          <w:spacing w:val="-4"/>
          <w:sz w:val="24"/>
          <w:szCs w:val="22"/>
        </w:rPr>
        <w:t>235.5nm</w:t>
      </w:r>
      <w:r w:rsidRPr="00F13DC9">
        <w:rPr>
          <w:spacing w:val="-4"/>
          <w:sz w:val="24"/>
          <w:szCs w:val="22"/>
        </w:rPr>
        <w:t>；</w:t>
      </w:r>
      <w:r w:rsidRPr="00F13DC9">
        <w:rPr>
          <w:bCs/>
          <w:sz w:val="24"/>
          <w:szCs w:val="24"/>
        </w:rPr>
        <w:t>铬</w:t>
      </w:r>
      <w:r w:rsidRPr="00F13DC9">
        <w:rPr>
          <w:sz w:val="24"/>
          <w:szCs w:val="24"/>
        </w:rPr>
        <w:t>：</w:t>
      </w:r>
      <w:r w:rsidRPr="00F13DC9">
        <w:rPr>
          <w:bCs/>
          <w:sz w:val="24"/>
          <w:szCs w:val="24"/>
        </w:rPr>
        <w:t>357.9nm</w:t>
      </w:r>
      <w:r w:rsidRPr="00F13DC9">
        <w:rPr>
          <w:bCs/>
          <w:sz w:val="24"/>
          <w:szCs w:val="24"/>
        </w:rPr>
        <w:t>；</w:t>
      </w:r>
      <w:r w:rsidRPr="00F13DC9">
        <w:rPr>
          <w:sz w:val="24"/>
          <w:szCs w:val="24"/>
        </w:rPr>
        <w:t>铝：</w:t>
      </w:r>
      <w:r w:rsidRPr="00F13DC9">
        <w:rPr>
          <w:sz w:val="24"/>
          <w:szCs w:val="24"/>
        </w:rPr>
        <w:t>309.3nm</w:t>
      </w:r>
      <w:r w:rsidRPr="00F13DC9">
        <w:rPr>
          <w:sz w:val="24"/>
          <w:szCs w:val="24"/>
        </w:rPr>
        <w:t>；砷：</w:t>
      </w:r>
      <w:r w:rsidRPr="00F13DC9">
        <w:rPr>
          <w:sz w:val="24"/>
          <w:szCs w:val="24"/>
        </w:rPr>
        <w:t>193.7nm</w:t>
      </w:r>
      <w:r w:rsidRPr="00F13DC9">
        <w:rPr>
          <w:sz w:val="24"/>
          <w:szCs w:val="24"/>
        </w:rPr>
        <w:t>；</w:t>
      </w:r>
    </w:p>
    <w:p w:rsidR="004035F4" w:rsidRPr="00F13DC9" w:rsidRDefault="00AE2352" w:rsidP="003C2FFD">
      <w:pPr>
        <w:spacing w:line="360" w:lineRule="auto"/>
        <w:rPr>
          <w:spacing w:val="-4"/>
          <w:sz w:val="24"/>
          <w:szCs w:val="22"/>
        </w:rPr>
      </w:pPr>
      <w:r w:rsidRPr="00F13DC9">
        <w:rPr>
          <w:sz w:val="24"/>
          <w:szCs w:val="24"/>
        </w:rPr>
        <w:t>锑：</w:t>
      </w:r>
      <w:r w:rsidRPr="00F13DC9">
        <w:rPr>
          <w:sz w:val="24"/>
          <w:szCs w:val="24"/>
        </w:rPr>
        <w:t>217.6nm</w:t>
      </w:r>
      <w:r w:rsidRPr="00F13DC9">
        <w:rPr>
          <w:sz w:val="24"/>
          <w:szCs w:val="24"/>
        </w:rPr>
        <w:t>。</w:t>
      </w:r>
    </w:p>
    <w:p w:rsidR="003C2FFD" w:rsidRPr="003C2FFD" w:rsidRDefault="003C2FFD" w:rsidP="003C2FFD">
      <w:pPr>
        <w:autoSpaceDE w:val="0"/>
        <w:autoSpaceDN w:val="0"/>
        <w:adjustRightInd w:val="0"/>
        <w:spacing w:line="360" w:lineRule="auto"/>
        <w:ind w:firstLineChars="200" w:firstLine="482"/>
        <w:jc w:val="left"/>
        <w:rPr>
          <w:b/>
          <w:color w:val="000000"/>
          <w:sz w:val="24"/>
          <w:szCs w:val="24"/>
        </w:rPr>
      </w:pPr>
      <w:r w:rsidRPr="003C2FFD">
        <w:rPr>
          <w:rFonts w:hint="eastAsia"/>
          <w:b/>
          <w:color w:val="000000"/>
          <w:sz w:val="24"/>
          <w:szCs w:val="24"/>
        </w:rPr>
        <w:t>3.</w:t>
      </w:r>
      <w:r w:rsidRPr="003C2FFD">
        <w:rPr>
          <w:b/>
          <w:color w:val="000000"/>
          <w:sz w:val="24"/>
          <w:szCs w:val="24"/>
        </w:rPr>
        <w:t xml:space="preserve"> </w:t>
      </w:r>
      <w:r w:rsidRPr="003C2FFD">
        <w:rPr>
          <w:rFonts w:hint="eastAsia"/>
          <w:b/>
          <w:color w:val="000000"/>
          <w:sz w:val="24"/>
          <w:szCs w:val="24"/>
        </w:rPr>
        <w:t>氢化物法</w:t>
      </w:r>
    </w:p>
    <w:p w:rsidR="004035F4" w:rsidRPr="00F13DC9" w:rsidRDefault="00AE2352" w:rsidP="003C2FFD">
      <w:pPr>
        <w:autoSpaceDE w:val="0"/>
        <w:autoSpaceDN w:val="0"/>
        <w:adjustRightInd w:val="0"/>
        <w:spacing w:line="360" w:lineRule="auto"/>
        <w:ind w:firstLineChars="200" w:firstLine="480"/>
        <w:jc w:val="left"/>
        <w:rPr>
          <w:bCs/>
          <w:color w:val="000000"/>
          <w:sz w:val="24"/>
          <w:szCs w:val="24"/>
        </w:rPr>
      </w:pPr>
      <w:r w:rsidRPr="00F13DC9">
        <w:rPr>
          <w:color w:val="000000"/>
          <w:sz w:val="24"/>
          <w:szCs w:val="24"/>
        </w:rPr>
        <w:t>本法可用于玻璃中砷、锑浸出量的测定</w:t>
      </w:r>
      <w:r w:rsidRPr="00F13DC9">
        <w:rPr>
          <w:bCs/>
          <w:color w:val="000000"/>
          <w:sz w:val="24"/>
          <w:szCs w:val="24"/>
        </w:rPr>
        <w:t>。</w:t>
      </w:r>
    </w:p>
    <w:p w:rsidR="002C6D27" w:rsidRDefault="002C6D27" w:rsidP="002C6D27">
      <w:pPr>
        <w:spacing w:line="360" w:lineRule="auto"/>
        <w:ind w:firstLineChars="200" w:firstLine="482"/>
        <w:rPr>
          <w:b/>
          <w:bCs/>
          <w:sz w:val="24"/>
          <w:szCs w:val="24"/>
        </w:rPr>
      </w:pPr>
      <w:r>
        <w:rPr>
          <w:rFonts w:hint="eastAsia"/>
          <w:b/>
          <w:bCs/>
          <w:sz w:val="24"/>
          <w:szCs w:val="24"/>
        </w:rPr>
        <w:t xml:space="preserve">3.1 </w:t>
      </w:r>
      <w:r w:rsidR="00AE2352" w:rsidRPr="00F13DC9">
        <w:rPr>
          <w:b/>
          <w:bCs/>
          <w:sz w:val="24"/>
          <w:szCs w:val="24"/>
        </w:rPr>
        <w:t>砷浸出量测定</w:t>
      </w:r>
      <w:r>
        <w:rPr>
          <w:rFonts w:hint="eastAsia"/>
          <w:b/>
          <w:bCs/>
          <w:sz w:val="24"/>
          <w:szCs w:val="24"/>
        </w:rPr>
        <w:t xml:space="preserve"> </w:t>
      </w:r>
    </w:p>
    <w:p w:rsidR="004035F4" w:rsidRPr="002C6D27" w:rsidRDefault="00AE2352" w:rsidP="002C6D27">
      <w:pPr>
        <w:spacing w:line="360" w:lineRule="auto"/>
        <w:ind w:firstLineChars="200" w:firstLine="480"/>
        <w:rPr>
          <w:b/>
          <w:bCs/>
          <w:sz w:val="24"/>
          <w:szCs w:val="24"/>
        </w:rPr>
      </w:pPr>
      <w:r w:rsidRPr="00F13DC9">
        <w:rPr>
          <w:bCs/>
          <w:color w:val="000000"/>
          <w:sz w:val="24"/>
          <w:szCs w:val="24"/>
        </w:rPr>
        <w:t>精密量取</w:t>
      </w:r>
      <w:r w:rsidRPr="00F13DC9">
        <w:rPr>
          <w:bCs/>
          <w:sz w:val="24"/>
          <w:szCs w:val="24"/>
        </w:rPr>
        <w:t>砷</w:t>
      </w:r>
      <w:r w:rsidRPr="00F13DC9">
        <w:rPr>
          <w:bCs/>
          <w:color w:val="000000"/>
          <w:sz w:val="24"/>
          <w:szCs w:val="24"/>
        </w:rPr>
        <w:t>标准溶液适量，用</w:t>
      </w:r>
      <w:r w:rsidRPr="00F13DC9">
        <w:rPr>
          <w:bCs/>
          <w:color w:val="000000"/>
          <w:sz w:val="24"/>
          <w:szCs w:val="24"/>
        </w:rPr>
        <w:t>4%</w:t>
      </w:r>
      <w:r w:rsidRPr="00F13DC9">
        <w:rPr>
          <w:bCs/>
          <w:color w:val="000000"/>
          <w:sz w:val="24"/>
          <w:szCs w:val="24"/>
        </w:rPr>
        <w:t>醋酸溶液稀释制成每</w:t>
      </w:r>
      <w:r w:rsidRPr="00F13DC9">
        <w:rPr>
          <w:bCs/>
          <w:color w:val="000000"/>
          <w:sz w:val="24"/>
          <w:szCs w:val="24"/>
        </w:rPr>
        <w:t>1ml</w:t>
      </w:r>
      <w:r w:rsidRPr="00F13DC9">
        <w:rPr>
          <w:bCs/>
          <w:color w:val="000000"/>
          <w:sz w:val="24"/>
          <w:szCs w:val="24"/>
        </w:rPr>
        <w:t>中含锑</w:t>
      </w:r>
      <w:r w:rsidRPr="00F13DC9">
        <w:rPr>
          <w:bCs/>
          <w:color w:val="000000"/>
          <w:sz w:val="24"/>
          <w:szCs w:val="24"/>
        </w:rPr>
        <w:t>0</w:t>
      </w:r>
      <w:r w:rsidRPr="00F13DC9">
        <w:rPr>
          <w:rFonts w:eastAsia="微软雅黑"/>
          <w:bCs/>
          <w:color w:val="000000"/>
          <w:sz w:val="24"/>
          <w:szCs w:val="24"/>
        </w:rPr>
        <w:t>〜</w:t>
      </w:r>
      <w:r w:rsidRPr="00F13DC9">
        <w:rPr>
          <w:bCs/>
          <w:color w:val="000000"/>
          <w:sz w:val="24"/>
          <w:szCs w:val="24"/>
        </w:rPr>
        <w:t>40ng</w:t>
      </w:r>
      <w:r w:rsidRPr="00F13DC9">
        <w:rPr>
          <w:bCs/>
          <w:color w:val="000000"/>
          <w:sz w:val="24"/>
          <w:szCs w:val="24"/>
        </w:rPr>
        <w:t>的</w:t>
      </w:r>
      <w:r w:rsidRPr="00F13DC9">
        <w:rPr>
          <w:sz w:val="24"/>
          <w:szCs w:val="24"/>
        </w:rPr>
        <w:t>标准系列溶液</w:t>
      </w:r>
      <w:r w:rsidRPr="00F13DC9">
        <w:rPr>
          <w:bCs/>
          <w:color w:val="000000"/>
          <w:sz w:val="24"/>
          <w:szCs w:val="24"/>
        </w:rPr>
        <w:t>。分别精密量取供试品溶液与标准品溶液</w:t>
      </w:r>
      <w:r w:rsidRPr="00F13DC9">
        <w:rPr>
          <w:bCs/>
          <w:color w:val="000000"/>
          <w:sz w:val="24"/>
          <w:szCs w:val="24"/>
        </w:rPr>
        <w:t>10ml</w:t>
      </w:r>
      <w:r w:rsidRPr="00F13DC9">
        <w:rPr>
          <w:bCs/>
          <w:color w:val="000000"/>
          <w:sz w:val="24"/>
          <w:szCs w:val="24"/>
        </w:rPr>
        <w:t>，置</w:t>
      </w:r>
      <w:r w:rsidRPr="00F13DC9">
        <w:rPr>
          <w:bCs/>
          <w:color w:val="000000"/>
          <w:sz w:val="24"/>
          <w:szCs w:val="24"/>
        </w:rPr>
        <w:t>25ml</w:t>
      </w:r>
      <w:r w:rsidRPr="00F13DC9">
        <w:rPr>
          <w:bCs/>
          <w:color w:val="000000"/>
          <w:sz w:val="24"/>
          <w:szCs w:val="24"/>
        </w:rPr>
        <w:t>量瓶中，加</w:t>
      </w:r>
      <w:r w:rsidRPr="00F13DC9">
        <w:rPr>
          <w:bCs/>
          <w:color w:val="000000"/>
          <w:sz w:val="24"/>
          <w:szCs w:val="24"/>
        </w:rPr>
        <w:t>25%</w:t>
      </w:r>
      <w:r w:rsidRPr="00F13DC9">
        <w:rPr>
          <w:bCs/>
          <w:color w:val="000000"/>
          <w:sz w:val="24"/>
          <w:szCs w:val="24"/>
        </w:rPr>
        <w:t>碘化钾溶液（临用前配制）</w:t>
      </w:r>
      <w:r w:rsidRPr="00F13DC9">
        <w:rPr>
          <w:bCs/>
          <w:color w:val="000000"/>
          <w:sz w:val="24"/>
          <w:szCs w:val="24"/>
        </w:rPr>
        <w:t>1ml</w:t>
      </w:r>
      <w:r w:rsidRPr="00F13DC9">
        <w:rPr>
          <w:bCs/>
          <w:color w:val="000000"/>
          <w:sz w:val="24"/>
          <w:szCs w:val="24"/>
        </w:rPr>
        <w:t>，摇匀，加</w:t>
      </w:r>
      <w:r w:rsidRPr="00F13DC9">
        <w:rPr>
          <w:bCs/>
          <w:color w:val="000000"/>
          <w:sz w:val="24"/>
          <w:szCs w:val="24"/>
        </w:rPr>
        <w:t>10%</w:t>
      </w:r>
      <w:r w:rsidRPr="00F13DC9">
        <w:rPr>
          <w:bCs/>
          <w:color w:val="000000"/>
          <w:sz w:val="24"/>
          <w:szCs w:val="24"/>
        </w:rPr>
        <w:t>抗坏血酸溶液（临用前配制）</w:t>
      </w:r>
      <w:r w:rsidRPr="00F13DC9">
        <w:rPr>
          <w:bCs/>
          <w:color w:val="000000"/>
          <w:sz w:val="24"/>
          <w:szCs w:val="24"/>
        </w:rPr>
        <w:t>1ml</w:t>
      </w:r>
      <w:r w:rsidRPr="00F13DC9">
        <w:rPr>
          <w:bCs/>
          <w:color w:val="000000"/>
          <w:sz w:val="24"/>
          <w:szCs w:val="24"/>
        </w:rPr>
        <w:t>，</w:t>
      </w:r>
      <w:r w:rsidRPr="00F13DC9">
        <w:rPr>
          <w:bCs/>
          <w:color w:val="000000"/>
          <w:sz w:val="24"/>
          <w:szCs w:val="24"/>
        </w:rPr>
        <w:t>5%</w:t>
      </w:r>
      <w:r w:rsidRPr="00F13DC9">
        <w:rPr>
          <w:bCs/>
          <w:color w:val="000000"/>
          <w:sz w:val="24"/>
          <w:szCs w:val="24"/>
        </w:rPr>
        <w:t>盐酸溶液稀释至刻度。摇匀，密塞，置</w:t>
      </w:r>
      <w:r w:rsidRPr="00F13DC9">
        <w:rPr>
          <w:bCs/>
          <w:color w:val="000000"/>
          <w:sz w:val="24"/>
          <w:szCs w:val="24"/>
        </w:rPr>
        <w:t>80</w:t>
      </w:r>
      <w:r w:rsidRPr="00F13DC9">
        <w:rPr>
          <w:rFonts w:ascii="宋体" w:hAnsi="宋体" w:cs="宋体" w:hint="eastAsia"/>
          <w:bCs/>
          <w:color w:val="000000"/>
          <w:sz w:val="24"/>
          <w:szCs w:val="24"/>
        </w:rPr>
        <w:t>℃</w:t>
      </w:r>
      <w:r w:rsidRPr="00F13DC9">
        <w:rPr>
          <w:bCs/>
          <w:color w:val="000000"/>
          <w:sz w:val="24"/>
          <w:szCs w:val="24"/>
        </w:rPr>
        <w:t>水浴中加热</w:t>
      </w:r>
      <w:r w:rsidRPr="00F13DC9">
        <w:rPr>
          <w:bCs/>
          <w:color w:val="000000"/>
          <w:sz w:val="24"/>
          <w:szCs w:val="24"/>
        </w:rPr>
        <w:t>3</w:t>
      </w:r>
      <w:r w:rsidRPr="00F13DC9">
        <w:rPr>
          <w:bCs/>
          <w:color w:val="000000"/>
          <w:sz w:val="24"/>
          <w:szCs w:val="24"/>
        </w:rPr>
        <w:t>分钟，取出，放冷。取适量，吸入氢化物发生装置（以含</w:t>
      </w:r>
      <w:r w:rsidRPr="00F13DC9">
        <w:rPr>
          <w:bCs/>
          <w:color w:val="000000"/>
          <w:sz w:val="24"/>
          <w:szCs w:val="24"/>
        </w:rPr>
        <w:t>1%</w:t>
      </w:r>
      <w:r w:rsidRPr="00F13DC9">
        <w:rPr>
          <w:bCs/>
          <w:color w:val="000000"/>
          <w:sz w:val="24"/>
          <w:szCs w:val="24"/>
        </w:rPr>
        <w:t>硼氢化钠和</w:t>
      </w:r>
      <w:r w:rsidRPr="00F13DC9">
        <w:rPr>
          <w:bCs/>
          <w:color w:val="000000"/>
          <w:sz w:val="24"/>
          <w:szCs w:val="24"/>
        </w:rPr>
        <w:t>0.3%</w:t>
      </w:r>
      <w:r w:rsidRPr="00F13DC9">
        <w:rPr>
          <w:bCs/>
          <w:color w:val="000000"/>
          <w:sz w:val="24"/>
          <w:szCs w:val="24"/>
        </w:rPr>
        <w:t>氢氧化钠溶液作为还原剂，临用新制），测定吸光度，以吸光度为纵坐标，浓度为横坐标，绘制标准曲线，计算供试品溶液中砷的含量。</w:t>
      </w:r>
      <w:r w:rsidRPr="00F13DC9">
        <w:rPr>
          <w:bCs/>
          <w:sz w:val="24"/>
          <w:szCs w:val="24"/>
        </w:rPr>
        <w:t>测量波长</w:t>
      </w:r>
      <w:r w:rsidRPr="00F13DC9">
        <w:rPr>
          <w:bCs/>
          <w:sz w:val="24"/>
          <w:szCs w:val="24"/>
        </w:rPr>
        <w:t>193.7nm</w:t>
      </w:r>
      <w:r w:rsidRPr="00F13DC9">
        <w:rPr>
          <w:bCs/>
          <w:sz w:val="24"/>
          <w:szCs w:val="24"/>
        </w:rPr>
        <w:t>，灯电流</w:t>
      </w:r>
      <w:r w:rsidRPr="00F13DC9">
        <w:rPr>
          <w:bCs/>
          <w:sz w:val="24"/>
          <w:szCs w:val="24"/>
        </w:rPr>
        <w:t>75%</w:t>
      </w:r>
      <w:r w:rsidRPr="00F13DC9">
        <w:rPr>
          <w:bCs/>
          <w:sz w:val="24"/>
          <w:szCs w:val="24"/>
        </w:rPr>
        <w:t>，狭缝</w:t>
      </w:r>
      <w:r w:rsidRPr="00F13DC9">
        <w:rPr>
          <w:bCs/>
          <w:sz w:val="24"/>
          <w:szCs w:val="24"/>
        </w:rPr>
        <w:t>0.5nm</w:t>
      </w:r>
      <w:r w:rsidRPr="00F13DC9">
        <w:rPr>
          <w:bCs/>
          <w:sz w:val="24"/>
          <w:szCs w:val="24"/>
        </w:rPr>
        <w:t>，乙炔气流量</w:t>
      </w:r>
      <w:r w:rsidRPr="00F13DC9">
        <w:rPr>
          <w:bCs/>
          <w:sz w:val="24"/>
          <w:szCs w:val="24"/>
        </w:rPr>
        <w:t>1.0L/min</w:t>
      </w:r>
      <w:r w:rsidRPr="00F13DC9">
        <w:rPr>
          <w:bCs/>
          <w:sz w:val="24"/>
          <w:szCs w:val="24"/>
        </w:rPr>
        <w:t>。</w:t>
      </w:r>
    </w:p>
    <w:p w:rsidR="002C6D27" w:rsidRDefault="002C6D27" w:rsidP="002C6D27">
      <w:pPr>
        <w:spacing w:line="360" w:lineRule="auto"/>
        <w:ind w:firstLineChars="200" w:firstLine="482"/>
        <w:rPr>
          <w:b/>
          <w:bCs/>
          <w:sz w:val="24"/>
          <w:szCs w:val="24"/>
        </w:rPr>
      </w:pPr>
      <w:r>
        <w:rPr>
          <w:rFonts w:hint="eastAsia"/>
          <w:b/>
          <w:bCs/>
          <w:sz w:val="24"/>
          <w:szCs w:val="24"/>
        </w:rPr>
        <w:t xml:space="preserve">3.2 </w:t>
      </w:r>
      <w:r w:rsidR="00AE2352" w:rsidRPr="00F13DC9">
        <w:rPr>
          <w:b/>
          <w:bCs/>
          <w:sz w:val="24"/>
          <w:szCs w:val="24"/>
        </w:rPr>
        <w:t>锑浸出量测定</w:t>
      </w:r>
      <w:r>
        <w:rPr>
          <w:rFonts w:hint="eastAsia"/>
          <w:b/>
          <w:bCs/>
          <w:sz w:val="24"/>
          <w:szCs w:val="24"/>
        </w:rPr>
        <w:t xml:space="preserve"> </w:t>
      </w:r>
    </w:p>
    <w:p w:rsidR="004035F4" w:rsidRPr="002C6D27" w:rsidRDefault="00AE2352" w:rsidP="002C6D27">
      <w:pPr>
        <w:spacing w:line="360" w:lineRule="auto"/>
        <w:ind w:firstLineChars="200" w:firstLine="480"/>
        <w:rPr>
          <w:b/>
          <w:bCs/>
          <w:sz w:val="24"/>
          <w:szCs w:val="24"/>
        </w:rPr>
      </w:pPr>
      <w:r w:rsidRPr="00F13DC9">
        <w:rPr>
          <w:bCs/>
          <w:color w:val="000000"/>
          <w:sz w:val="24"/>
          <w:szCs w:val="24"/>
        </w:rPr>
        <w:t>精密量取锑标准溶液适量，用</w:t>
      </w:r>
      <w:r w:rsidRPr="00F13DC9">
        <w:rPr>
          <w:bCs/>
          <w:color w:val="000000"/>
          <w:sz w:val="24"/>
          <w:szCs w:val="24"/>
        </w:rPr>
        <w:t>4%</w:t>
      </w:r>
      <w:r w:rsidRPr="00F13DC9">
        <w:rPr>
          <w:bCs/>
          <w:color w:val="000000"/>
          <w:sz w:val="24"/>
          <w:szCs w:val="24"/>
        </w:rPr>
        <w:t>醋酸溶液稀释制成每</w:t>
      </w:r>
      <w:r w:rsidRPr="00F13DC9">
        <w:rPr>
          <w:bCs/>
          <w:color w:val="000000"/>
          <w:sz w:val="24"/>
          <w:szCs w:val="24"/>
        </w:rPr>
        <w:t>1ml</w:t>
      </w:r>
      <w:r w:rsidRPr="00F13DC9">
        <w:rPr>
          <w:bCs/>
          <w:color w:val="000000"/>
          <w:sz w:val="24"/>
          <w:szCs w:val="24"/>
        </w:rPr>
        <w:t>中含锑</w:t>
      </w:r>
      <w:r w:rsidRPr="00F13DC9">
        <w:rPr>
          <w:bCs/>
          <w:color w:val="000000"/>
          <w:sz w:val="24"/>
          <w:szCs w:val="24"/>
        </w:rPr>
        <w:t>0</w:t>
      </w:r>
      <w:r w:rsidRPr="00F13DC9">
        <w:rPr>
          <w:rFonts w:eastAsia="微软雅黑"/>
          <w:bCs/>
          <w:color w:val="000000"/>
          <w:sz w:val="24"/>
          <w:szCs w:val="24"/>
        </w:rPr>
        <w:t>〜</w:t>
      </w:r>
      <w:r w:rsidRPr="00F13DC9">
        <w:rPr>
          <w:bCs/>
          <w:color w:val="000000"/>
          <w:sz w:val="24"/>
          <w:szCs w:val="24"/>
        </w:rPr>
        <w:t>40ng</w:t>
      </w:r>
      <w:r w:rsidRPr="00F13DC9">
        <w:rPr>
          <w:bCs/>
          <w:color w:val="000000"/>
          <w:sz w:val="24"/>
          <w:szCs w:val="24"/>
        </w:rPr>
        <w:t>的</w:t>
      </w:r>
      <w:r w:rsidRPr="00F13DC9">
        <w:rPr>
          <w:sz w:val="24"/>
          <w:szCs w:val="24"/>
        </w:rPr>
        <w:t>标准系列溶液</w:t>
      </w:r>
      <w:r w:rsidRPr="00F13DC9">
        <w:rPr>
          <w:bCs/>
          <w:color w:val="000000"/>
          <w:sz w:val="24"/>
          <w:szCs w:val="24"/>
        </w:rPr>
        <w:t>。分别精密量取供试品溶液与标准品溶液</w:t>
      </w:r>
      <w:r w:rsidRPr="00F13DC9">
        <w:rPr>
          <w:bCs/>
          <w:color w:val="000000"/>
          <w:sz w:val="24"/>
          <w:szCs w:val="24"/>
        </w:rPr>
        <w:t>10 ml</w:t>
      </w:r>
      <w:r w:rsidRPr="00F13DC9">
        <w:rPr>
          <w:bCs/>
          <w:color w:val="000000"/>
          <w:sz w:val="24"/>
          <w:szCs w:val="24"/>
        </w:rPr>
        <w:t>，置</w:t>
      </w:r>
      <w:r w:rsidRPr="00F13DC9">
        <w:rPr>
          <w:bCs/>
          <w:color w:val="000000"/>
          <w:sz w:val="24"/>
          <w:szCs w:val="24"/>
        </w:rPr>
        <w:t>25ml</w:t>
      </w:r>
      <w:r w:rsidRPr="00F13DC9">
        <w:rPr>
          <w:bCs/>
          <w:color w:val="000000"/>
          <w:sz w:val="24"/>
          <w:szCs w:val="24"/>
        </w:rPr>
        <w:t>量瓶中，加</w:t>
      </w:r>
      <w:r w:rsidRPr="00F13DC9">
        <w:rPr>
          <w:bCs/>
          <w:color w:val="000000"/>
          <w:sz w:val="24"/>
          <w:szCs w:val="24"/>
        </w:rPr>
        <w:t>25%</w:t>
      </w:r>
      <w:r w:rsidRPr="00F13DC9">
        <w:rPr>
          <w:bCs/>
          <w:color w:val="000000"/>
          <w:sz w:val="24"/>
          <w:szCs w:val="24"/>
        </w:rPr>
        <w:t>碘化钾溶液（临用新制）</w:t>
      </w:r>
      <w:r w:rsidRPr="00F13DC9">
        <w:rPr>
          <w:bCs/>
          <w:color w:val="000000"/>
          <w:sz w:val="24"/>
          <w:szCs w:val="24"/>
        </w:rPr>
        <w:t>1ml</w:t>
      </w:r>
      <w:r w:rsidRPr="00F13DC9">
        <w:rPr>
          <w:bCs/>
          <w:color w:val="000000"/>
          <w:sz w:val="24"/>
          <w:szCs w:val="24"/>
        </w:rPr>
        <w:t>，摇匀，加</w:t>
      </w:r>
      <w:r w:rsidRPr="00F13DC9">
        <w:rPr>
          <w:bCs/>
          <w:color w:val="000000"/>
          <w:sz w:val="24"/>
          <w:szCs w:val="24"/>
        </w:rPr>
        <w:t>10%</w:t>
      </w:r>
      <w:r w:rsidRPr="00F13DC9">
        <w:rPr>
          <w:bCs/>
          <w:color w:val="000000"/>
          <w:sz w:val="24"/>
          <w:szCs w:val="24"/>
        </w:rPr>
        <w:t>抗坏血酸溶液（临用新制）</w:t>
      </w:r>
      <w:r w:rsidRPr="00F13DC9">
        <w:rPr>
          <w:bCs/>
          <w:color w:val="000000"/>
          <w:sz w:val="24"/>
          <w:szCs w:val="24"/>
        </w:rPr>
        <w:t>1ml</w:t>
      </w:r>
      <w:r w:rsidRPr="00F13DC9">
        <w:rPr>
          <w:bCs/>
          <w:color w:val="000000"/>
          <w:sz w:val="24"/>
          <w:szCs w:val="24"/>
        </w:rPr>
        <w:t>，</w:t>
      </w:r>
      <w:r w:rsidRPr="00F13DC9">
        <w:rPr>
          <w:bCs/>
          <w:color w:val="000000"/>
          <w:sz w:val="24"/>
          <w:szCs w:val="24"/>
        </w:rPr>
        <w:t>5%</w:t>
      </w:r>
      <w:r w:rsidRPr="00F13DC9">
        <w:rPr>
          <w:bCs/>
          <w:color w:val="000000"/>
          <w:sz w:val="24"/>
          <w:szCs w:val="24"/>
        </w:rPr>
        <w:t>盐酸溶液稀释至刻度。摇匀，密塞，置</w:t>
      </w:r>
      <w:r w:rsidRPr="00F13DC9">
        <w:rPr>
          <w:bCs/>
          <w:color w:val="000000"/>
          <w:sz w:val="24"/>
          <w:szCs w:val="24"/>
        </w:rPr>
        <w:t>80</w:t>
      </w:r>
      <w:r w:rsidRPr="00F13DC9">
        <w:rPr>
          <w:rFonts w:ascii="宋体" w:hAnsi="宋体" w:cs="宋体" w:hint="eastAsia"/>
          <w:bCs/>
          <w:color w:val="000000"/>
          <w:sz w:val="24"/>
          <w:szCs w:val="24"/>
        </w:rPr>
        <w:t>℃</w:t>
      </w:r>
      <w:r w:rsidRPr="00F13DC9">
        <w:rPr>
          <w:bCs/>
          <w:color w:val="000000"/>
          <w:sz w:val="24"/>
          <w:szCs w:val="24"/>
        </w:rPr>
        <w:t>水浴中加热</w:t>
      </w:r>
      <w:r w:rsidRPr="00F13DC9">
        <w:rPr>
          <w:bCs/>
          <w:color w:val="000000"/>
          <w:sz w:val="24"/>
          <w:szCs w:val="24"/>
        </w:rPr>
        <w:t>3</w:t>
      </w:r>
      <w:r w:rsidRPr="00F13DC9">
        <w:rPr>
          <w:bCs/>
          <w:color w:val="000000"/>
          <w:sz w:val="24"/>
          <w:szCs w:val="24"/>
        </w:rPr>
        <w:t>分钟，取出，放冷。取适量，吸入氢化物发生装置（以含</w:t>
      </w:r>
      <w:r w:rsidRPr="00F13DC9">
        <w:rPr>
          <w:bCs/>
          <w:color w:val="000000"/>
          <w:sz w:val="24"/>
          <w:szCs w:val="24"/>
        </w:rPr>
        <w:t>1%</w:t>
      </w:r>
      <w:r w:rsidRPr="00F13DC9">
        <w:rPr>
          <w:bCs/>
          <w:color w:val="000000"/>
          <w:sz w:val="24"/>
          <w:szCs w:val="24"/>
        </w:rPr>
        <w:t>硼氢化钠和</w:t>
      </w:r>
      <w:r w:rsidRPr="00F13DC9">
        <w:rPr>
          <w:bCs/>
          <w:color w:val="000000"/>
          <w:sz w:val="24"/>
          <w:szCs w:val="24"/>
        </w:rPr>
        <w:t>0.3%</w:t>
      </w:r>
      <w:r w:rsidRPr="00F13DC9">
        <w:rPr>
          <w:bCs/>
          <w:color w:val="000000"/>
          <w:sz w:val="24"/>
          <w:szCs w:val="24"/>
        </w:rPr>
        <w:t>氢氧化钠溶液作为还原剂，临用新制），测定吸收值，以吸光度为纵坐标，浓度为横坐标，绘制标准曲线，计算供试品溶液中锑的含量。</w:t>
      </w:r>
    </w:p>
    <w:p w:rsidR="004035F4" w:rsidRDefault="00AE2352" w:rsidP="003C2FFD">
      <w:pPr>
        <w:autoSpaceDE w:val="0"/>
        <w:autoSpaceDN w:val="0"/>
        <w:adjustRightInd w:val="0"/>
        <w:spacing w:line="360" w:lineRule="auto"/>
        <w:ind w:firstLineChars="200" w:firstLine="480"/>
        <w:jc w:val="left"/>
        <w:rPr>
          <w:bCs/>
          <w:sz w:val="24"/>
          <w:szCs w:val="24"/>
        </w:rPr>
      </w:pPr>
      <w:r w:rsidRPr="00F13DC9">
        <w:rPr>
          <w:bCs/>
          <w:sz w:val="24"/>
          <w:szCs w:val="24"/>
        </w:rPr>
        <w:t>可根据仪器的灵敏度、线性范围及供试品溶液中锑的实际浓度确定线性范围。</w:t>
      </w:r>
    </w:p>
    <w:p w:rsidR="003C2FFD" w:rsidRPr="003C2FFD" w:rsidRDefault="003C2FFD" w:rsidP="003C2FFD">
      <w:pPr>
        <w:autoSpaceDE w:val="0"/>
        <w:autoSpaceDN w:val="0"/>
        <w:adjustRightInd w:val="0"/>
        <w:spacing w:line="360" w:lineRule="auto"/>
        <w:ind w:firstLineChars="200" w:firstLine="482"/>
        <w:jc w:val="left"/>
        <w:rPr>
          <w:b/>
          <w:bCs/>
          <w:sz w:val="24"/>
          <w:szCs w:val="24"/>
        </w:rPr>
      </w:pPr>
      <w:r w:rsidRPr="003C2FFD">
        <w:rPr>
          <w:rFonts w:hint="eastAsia"/>
          <w:b/>
          <w:bCs/>
          <w:sz w:val="24"/>
          <w:szCs w:val="24"/>
        </w:rPr>
        <w:t>第四法</w:t>
      </w:r>
      <w:r>
        <w:rPr>
          <w:b/>
          <w:bCs/>
          <w:sz w:val="24"/>
          <w:szCs w:val="24"/>
        </w:rPr>
        <w:t xml:space="preserve"> </w:t>
      </w:r>
      <w:r w:rsidRPr="003C2FFD">
        <w:rPr>
          <w:rFonts w:hint="eastAsia"/>
          <w:b/>
          <w:bCs/>
          <w:sz w:val="24"/>
          <w:szCs w:val="24"/>
        </w:rPr>
        <w:t>原子荧光光谱法</w:t>
      </w:r>
    </w:p>
    <w:p w:rsidR="004035F4" w:rsidRPr="00F13DC9" w:rsidRDefault="00AE2352" w:rsidP="003C2FFD">
      <w:pPr>
        <w:autoSpaceDE w:val="0"/>
        <w:autoSpaceDN w:val="0"/>
        <w:adjustRightInd w:val="0"/>
        <w:spacing w:line="360" w:lineRule="auto"/>
        <w:ind w:firstLineChars="200" w:firstLine="480"/>
        <w:jc w:val="left"/>
        <w:rPr>
          <w:bCs/>
          <w:sz w:val="24"/>
          <w:szCs w:val="24"/>
        </w:rPr>
      </w:pPr>
      <w:r w:rsidRPr="00F13DC9">
        <w:rPr>
          <w:sz w:val="24"/>
          <w:szCs w:val="24"/>
        </w:rPr>
        <w:t>本法可用</w:t>
      </w:r>
      <w:r w:rsidRPr="00F13DC9">
        <w:rPr>
          <w:color w:val="000000"/>
          <w:sz w:val="24"/>
          <w:szCs w:val="24"/>
        </w:rPr>
        <w:t>于玻璃中砷、锑浸出量</w:t>
      </w:r>
      <w:r w:rsidRPr="00F13DC9">
        <w:rPr>
          <w:sz w:val="24"/>
          <w:szCs w:val="24"/>
        </w:rPr>
        <w:t>的测定</w:t>
      </w:r>
      <w:r w:rsidRPr="00F13DC9">
        <w:rPr>
          <w:bCs/>
          <w:sz w:val="24"/>
          <w:szCs w:val="24"/>
        </w:rPr>
        <w:t>。</w:t>
      </w:r>
    </w:p>
    <w:p w:rsidR="004035F4" w:rsidRPr="00F13DC9" w:rsidRDefault="002C6D27" w:rsidP="003C2FFD">
      <w:pPr>
        <w:spacing w:line="360" w:lineRule="auto"/>
        <w:ind w:firstLineChars="200" w:firstLine="482"/>
        <w:rPr>
          <w:b/>
          <w:bCs/>
          <w:sz w:val="24"/>
          <w:szCs w:val="24"/>
        </w:rPr>
      </w:pPr>
      <w:r>
        <w:rPr>
          <w:rFonts w:hint="eastAsia"/>
          <w:b/>
          <w:bCs/>
          <w:sz w:val="24"/>
          <w:szCs w:val="24"/>
        </w:rPr>
        <w:t xml:space="preserve">1. </w:t>
      </w:r>
      <w:r w:rsidR="00AE2352" w:rsidRPr="00F13DC9">
        <w:rPr>
          <w:b/>
          <w:bCs/>
          <w:sz w:val="24"/>
          <w:szCs w:val="24"/>
        </w:rPr>
        <w:t>砷浸出量测定</w:t>
      </w:r>
    </w:p>
    <w:p w:rsidR="004035F4" w:rsidRPr="00F13DC9" w:rsidRDefault="00AE2352" w:rsidP="003C2FFD">
      <w:pPr>
        <w:spacing w:line="360" w:lineRule="auto"/>
        <w:ind w:firstLineChars="200" w:firstLine="482"/>
        <w:rPr>
          <w:bCs/>
          <w:sz w:val="24"/>
          <w:szCs w:val="24"/>
        </w:rPr>
      </w:pPr>
      <w:r w:rsidRPr="00F13DC9">
        <w:rPr>
          <w:b/>
          <w:sz w:val="24"/>
          <w:szCs w:val="24"/>
        </w:rPr>
        <w:t>试验原理</w:t>
      </w:r>
      <w:r w:rsidRPr="00F13DC9">
        <w:rPr>
          <w:b/>
          <w:sz w:val="24"/>
          <w:szCs w:val="24"/>
        </w:rPr>
        <w:t xml:space="preserve">  </w:t>
      </w:r>
      <w:r w:rsidRPr="00F13DC9">
        <w:rPr>
          <w:bCs/>
          <w:sz w:val="24"/>
          <w:szCs w:val="24"/>
        </w:rPr>
        <w:t>在酸性条件下，供试品溶液加入硫脲和坏血酸使五价砷预还</w:t>
      </w:r>
      <w:r w:rsidRPr="00F13DC9">
        <w:rPr>
          <w:bCs/>
          <w:sz w:val="24"/>
          <w:szCs w:val="24"/>
        </w:rPr>
        <w:lastRenderedPageBreak/>
        <w:t>原为三价砷，再与还原态氢生成砷化氢，由氩气载入原子化器中分解为原子态砷，在砷空心阴极灯的发射光激发下产生原子荧光，其荧光强度与被测液中的砷浓度成正比，与系列标准品溶液比较定量。</w:t>
      </w:r>
    </w:p>
    <w:p w:rsidR="004035F4" w:rsidRPr="00F13DC9" w:rsidRDefault="00AE2352" w:rsidP="003C2FFD">
      <w:pPr>
        <w:spacing w:line="360" w:lineRule="auto"/>
        <w:ind w:firstLineChars="200" w:firstLine="482"/>
        <w:rPr>
          <w:bCs/>
          <w:sz w:val="24"/>
          <w:szCs w:val="24"/>
        </w:rPr>
      </w:pPr>
      <w:r w:rsidRPr="00F13DC9">
        <w:rPr>
          <w:b/>
          <w:bCs/>
          <w:color w:val="000000"/>
          <w:sz w:val="24"/>
          <w:szCs w:val="24"/>
        </w:rPr>
        <w:t>测定法</w:t>
      </w:r>
      <w:r w:rsidRPr="00F13DC9">
        <w:rPr>
          <w:b/>
          <w:bCs/>
          <w:color w:val="000000"/>
          <w:sz w:val="24"/>
          <w:szCs w:val="24"/>
        </w:rPr>
        <w:t xml:space="preserve">  </w:t>
      </w:r>
      <w:r w:rsidRPr="00F13DC9">
        <w:rPr>
          <w:bCs/>
          <w:color w:val="000000"/>
          <w:sz w:val="24"/>
          <w:szCs w:val="24"/>
        </w:rPr>
        <w:t>精密量取</w:t>
      </w:r>
      <w:r w:rsidRPr="00F13DC9">
        <w:rPr>
          <w:bCs/>
          <w:sz w:val="24"/>
          <w:szCs w:val="24"/>
        </w:rPr>
        <w:t>砷</w:t>
      </w:r>
      <w:r w:rsidRPr="00F13DC9">
        <w:rPr>
          <w:bCs/>
          <w:color w:val="000000"/>
          <w:sz w:val="24"/>
          <w:szCs w:val="24"/>
        </w:rPr>
        <w:t>标准溶液适量，用</w:t>
      </w:r>
      <w:r w:rsidRPr="00F13DC9">
        <w:rPr>
          <w:bCs/>
          <w:color w:val="000000"/>
          <w:sz w:val="24"/>
          <w:szCs w:val="24"/>
        </w:rPr>
        <w:t>4%</w:t>
      </w:r>
      <w:r w:rsidRPr="00F13DC9">
        <w:rPr>
          <w:bCs/>
          <w:color w:val="000000"/>
          <w:sz w:val="24"/>
          <w:szCs w:val="24"/>
        </w:rPr>
        <w:t>醋酸</w:t>
      </w:r>
      <w:r w:rsidRPr="00F13DC9">
        <w:rPr>
          <w:bCs/>
          <w:sz w:val="24"/>
          <w:szCs w:val="24"/>
        </w:rPr>
        <w:t>溶液稀释制成每</w:t>
      </w:r>
      <w:r w:rsidRPr="00F13DC9">
        <w:rPr>
          <w:bCs/>
          <w:sz w:val="24"/>
          <w:szCs w:val="24"/>
        </w:rPr>
        <w:t>1ml</w:t>
      </w:r>
      <w:r w:rsidRPr="00F13DC9">
        <w:rPr>
          <w:bCs/>
          <w:sz w:val="24"/>
          <w:szCs w:val="24"/>
        </w:rPr>
        <w:t>中含砷</w:t>
      </w:r>
      <w:r w:rsidRPr="00F13DC9">
        <w:rPr>
          <w:bCs/>
          <w:sz w:val="24"/>
          <w:szCs w:val="24"/>
        </w:rPr>
        <w:t>0</w:t>
      </w:r>
      <w:r w:rsidRPr="00F13DC9">
        <w:rPr>
          <w:rFonts w:eastAsia="微软雅黑"/>
          <w:bCs/>
          <w:sz w:val="24"/>
          <w:szCs w:val="24"/>
        </w:rPr>
        <w:t>〜</w:t>
      </w:r>
      <w:r w:rsidRPr="00F13DC9">
        <w:rPr>
          <w:bCs/>
          <w:sz w:val="24"/>
          <w:szCs w:val="24"/>
        </w:rPr>
        <w:t>30ng</w:t>
      </w:r>
      <w:r w:rsidRPr="00F13DC9">
        <w:rPr>
          <w:bCs/>
          <w:sz w:val="24"/>
          <w:szCs w:val="24"/>
        </w:rPr>
        <w:t>的</w:t>
      </w:r>
      <w:r w:rsidRPr="00F13DC9">
        <w:rPr>
          <w:sz w:val="24"/>
          <w:szCs w:val="24"/>
        </w:rPr>
        <w:t>标准系列溶液</w:t>
      </w:r>
      <w:r w:rsidRPr="00F13DC9">
        <w:rPr>
          <w:bCs/>
          <w:sz w:val="24"/>
          <w:szCs w:val="24"/>
        </w:rPr>
        <w:t>。分别精密取供试品溶液与标准品溶液</w:t>
      </w:r>
      <w:r w:rsidRPr="00F13DC9">
        <w:rPr>
          <w:bCs/>
          <w:sz w:val="24"/>
          <w:szCs w:val="24"/>
        </w:rPr>
        <w:t>20 ml</w:t>
      </w:r>
      <w:r w:rsidRPr="00F13DC9">
        <w:rPr>
          <w:bCs/>
          <w:sz w:val="24"/>
          <w:szCs w:val="24"/>
        </w:rPr>
        <w:t>，加入盐酸</w:t>
      </w:r>
      <w:r w:rsidRPr="00F13DC9">
        <w:rPr>
          <w:bCs/>
          <w:sz w:val="24"/>
          <w:szCs w:val="24"/>
        </w:rPr>
        <w:t>1ml</w:t>
      </w:r>
      <w:r w:rsidRPr="00F13DC9">
        <w:rPr>
          <w:bCs/>
          <w:sz w:val="24"/>
          <w:szCs w:val="24"/>
        </w:rPr>
        <w:t>，加入预还原剂溶液</w:t>
      </w:r>
      <w:r w:rsidRPr="00F13DC9">
        <w:rPr>
          <w:bCs/>
          <w:sz w:val="24"/>
          <w:szCs w:val="24"/>
        </w:rPr>
        <w:t>5ml</w:t>
      </w:r>
      <w:r w:rsidRPr="00F13DC9">
        <w:rPr>
          <w:bCs/>
          <w:sz w:val="24"/>
          <w:szCs w:val="24"/>
        </w:rPr>
        <w:t>（分别称取硫脲</w:t>
      </w:r>
      <w:r w:rsidRPr="00F13DC9">
        <w:rPr>
          <w:bCs/>
          <w:sz w:val="24"/>
          <w:szCs w:val="24"/>
        </w:rPr>
        <w:t>5.0g</w:t>
      </w:r>
      <w:r w:rsidRPr="00F13DC9">
        <w:rPr>
          <w:bCs/>
          <w:sz w:val="24"/>
          <w:szCs w:val="24"/>
        </w:rPr>
        <w:t>与抗坏血酸</w:t>
      </w:r>
      <w:r w:rsidRPr="00F13DC9">
        <w:rPr>
          <w:bCs/>
          <w:sz w:val="24"/>
          <w:szCs w:val="24"/>
        </w:rPr>
        <w:t>5.0g</w:t>
      </w:r>
      <w:r w:rsidRPr="00F13DC9">
        <w:rPr>
          <w:bCs/>
          <w:sz w:val="24"/>
          <w:szCs w:val="24"/>
        </w:rPr>
        <w:t>，加水适量使溶解，用水稀释至</w:t>
      </w:r>
      <w:r w:rsidRPr="00F13DC9">
        <w:rPr>
          <w:bCs/>
          <w:sz w:val="24"/>
          <w:szCs w:val="24"/>
        </w:rPr>
        <w:t>100ml</w:t>
      </w:r>
      <w:r w:rsidRPr="00F13DC9">
        <w:rPr>
          <w:bCs/>
          <w:sz w:val="24"/>
          <w:szCs w:val="24"/>
        </w:rPr>
        <w:t>，</w:t>
      </w:r>
      <w:r w:rsidRPr="00F13DC9">
        <w:rPr>
          <w:bCs/>
          <w:color w:val="000000"/>
          <w:sz w:val="24"/>
          <w:szCs w:val="24"/>
        </w:rPr>
        <w:t>临用新制</w:t>
      </w:r>
      <w:r w:rsidRPr="00F13DC9">
        <w:rPr>
          <w:bCs/>
          <w:sz w:val="24"/>
          <w:szCs w:val="24"/>
        </w:rPr>
        <w:t>），室温放置</w:t>
      </w:r>
      <w:r w:rsidRPr="00F13DC9">
        <w:rPr>
          <w:bCs/>
          <w:sz w:val="24"/>
          <w:szCs w:val="24"/>
        </w:rPr>
        <w:t>30</w:t>
      </w:r>
      <w:r w:rsidRPr="00F13DC9">
        <w:rPr>
          <w:bCs/>
          <w:sz w:val="24"/>
          <w:szCs w:val="24"/>
        </w:rPr>
        <w:t>分钟后测定，同时取</w:t>
      </w:r>
      <w:r w:rsidRPr="00F13DC9">
        <w:rPr>
          <w:bCs/>
          <w:sz w:val="24"/>
          <w:szCs w:val="24"/>
        </w:rPr>
        <w:t>4%</w:t>
      </w:r>
      <w:r w:rsidRPr="00F13DC9">
        <w:rPr>
          <w:bCs/>
          <w:sz w:val="24"/>
          <w:szCs w:val="24"/>
        </w:rPr>
        <w:t>醋酸溶液</w:t>
      </w:r>
      <w:r w:rsidRPr="00F13DC9">
        <w:rPr>
          <w:bCs/>
          <w:sz w:val="24"/>
          <w:szCs w:val="24"/>
        </w:rPr>
        <w:t>20ml</w:t>
      </w:r>
      <w:r w:rsidRPr="00F13DC9">
        <w:rPr>
          <w:bCs/>
          <w:sz w:val="24"/>
          <w:szCs w:val="24"/>
        </w:rPr>
        <w:t>自</w:t>
      </w:r>
      <w:r w:rsidRPr="00F13DC9">
        <w:rPr>
          <w:bCs/>
          <w:sz w:val="24"/>
          <w:szCs w:val="24"/>
        </w:rPr>
        <w:t>“</w:t>
      </w:r>
      <w:r w:rsidRPr="00F13DC9">
        <w:rPr>
          <w:bCs/>
          <w:sz w:val="24"/>
          <w:szCs w:val="24"/>
        </w:rPr>
        <w:t>加入盐酸</w:t>
      </w:r>
      <w:r w:rsidRPr="00F13DC9">
        <w:rPr>
          <w:bCs/>
          <w:sz w:val="24"/>
          <w:szCs w:val="24"/>
        </w:rPr>
        <w:t>1ml……”</w:t>
      </w:r>
      <w:r w:rsidRPr="00F13DC9">
        <w:rPr>
          <w:bCs/>
          <w:sz w:val="24"/>
          <w:szCs w:val="24"/>
        </w:rPr>
        <w:t>起，依法制得标准空白溶液。</w:t>
      </w:r>
    </w:p>
    <w:p w:rsidR="004035F4" w:rsidRPr="00F13DC9" w:rsidRDefault="00AE2352" w:rsidP="003C2FFD">
      <w:pPr>
        <w:autoSpaceDE w:val="0"/>
        <w:autoSpaceDN w:val="0"/>
        <w:adjustRightInd w:val="0"/>
        <w:spacing w:line="360" w:lineRule="auto"/>
        <w:ind w:firstLineChars="200" w:firstLine="480"/>
        <w:jc w:val="left"/>
        <w:rPr>
          <w:bCs/>
          <w:sz w:val="24"/>
          <w:szCs w:val="24"/>
        </w:rPr>
      </w:pPr>
      <w:r w:rsidRPr="00F13DC9">
        <w:rPr>
          <w:bCs/>
          <w:sz w:val="24"/>
          <w:szCs w:val="24"/>
        </w:rPr>
        <w:t>将</w:t>
      </w:r>
      <w:r w:rsidRPr="00F13DC9">
        <w:rPr>
          <w:sz w:val="24"/>
          <w:szCs w:val="24"/>
        </w:rPr>
        <w:t>标准系列溶液</w:t>
      </w:r>
      <w:r w:rsidRPr="00F13DC9">
        <w:rPr>
          <w:bCs/>
          <w:sz w:val="24"/>
          <w:szCs w:val="24"/>
        </w:rPr>
        <w:t>由低浓度到高浓度依次导入原子荧光光度计后测定其荧光强度值，以浓度为横坐标，荧光强度值为纵坐标，制作标准曲线，计算供试品溶液中砷的浓度。</w:t>
      </w:r>
    </w:p>
    <w:p w:rsidR="004035F4" w:rsidRPr="00F13DC9" w:rsidRDefault="00AE2352" w:rsidP="003C2FFD">
      <w:pPr>
        <w:autoSpaceDE w:val="0"/>
        <w:autoSpaceDN w:val="0"/>
        <w:adjustRightInd w:val="0"/>
        <w:spacing w:line="360" w:lineRule="auto"/>
        <w:ind w:firstLineChars="200" w:firstLine="480"/>
        <w:jc w:val="left"/>
        <w:rPr>
          <w:bCs/>
          <w:sz w:val="24"/>
          <w:szCs w:val="24"/>
        </w:rPr>
      </w:pPr>
      <w:r w:rsidRPr="00F13DC9">
        <w:rPr>
          <w:bCs/>
          <w:sz w:val="24"/>
          <w:szCs w:val="24"/>
        </w:rPr>
        <w:t>可根据仪器的灵敏度及浸提液中砷的实际浓度调整标准曲线的线性范围。</w:t>
      </w:r>
    </w:p>
    <w:p w:rsidR="004035F4" w:rsidRPr="00F13DC9" w:rsidRDefault="002C6D27" w:rsidP="003C2FFD">
      <w:pPr>
        <w:spacing w:line="360" w:lineRule="auto"/>
        <w:ind w:firstLineChars="200" w:firstLine="482"/>
        <w:rPr>
          <w:b/>
          <w:bCs/>
          <w:sz w:val="24"/>
          <w:szCs w:val="24"/>
        </w:rPr>
      </w:pPr>
      <w:r>
        <w:rPr>
          <w:rFonts w:hint="eastAsia"/>
          <w:b/>
          <w:bCs/>
          <w:sz w:val="24"/>
          <w:szCs w:val="24"/>
        </w:rPr>
        <w:t xml:space="preserve">2. </w:t>
      </w:r>
      <w:r w:rsidR="00AE2352" w:rsidRPr="00F13DC9">
        <w:rPr>
          <w:b/>
          <w:bCs/>
          <w:sz w:val="24"/>
          <w:szCs w:val="24"/>
        </w:rPr>
        <w:t>锑浸出量测定</w:t>
      </w:r>
    </w:p>
    <w:p w:rsidR="004035F4" w:rsidRPr="00F13DC9" w:rsidRDefault="00AE2352" w:rsidP="003C2FFD">
      <w:pPr>
        <w:tabs>
          <w:tab w:val="left" w:pos="426"/>
        </w:tabs>
        <w:spacing w:line="360" w:lineRule="auto"/>
        <w:ind w:firstLineChars="200" w:firstLine="482"/>
        <w:rPr>
          <w:bCs/>
          <w:sz w:val="24"/>
          <w:szCs w:val="24"/>
        </w:rPr>
      </w:pPr>
      <w:r w:rsidRPr="00F13DC9">
        <w:rPr>
          <w:b/>
          <w:sz w:val="24"/>
          <w:szCs w:val="24"/>
        </w:rPr>
        <w:t>试验原理</w:t>
      </w:r>
      <w:r w:rsidRPr="00F13DC9">
        <w:rPr>
          <w:b/>
          <w:sz w:val="24"/>
          <w:szCs w:val="24"/>
        </w:rPr>
        <w:t xml:space="preserve">  </w:t>
      </w:r>
      <w:r w:rsidRPr="00F13DC9">
        <w:rPr>
          <w:bCs/>
          <w:sz w:val="24"/>
          <w:szCs w:val="24"/>
        </w:rPr>
        <w:t>浸出液在盐酸介质中，用硫脲将试液中的五价锑还原为三价锑，再加入硼氢化钾与三价锑还原生成锑化氢，以氩气为载气，将锑化氢导入原子化器中原子化，用原子荧光光谱法测定锑的含量。</w:t>
      </w:r>
    </w:p>
    <w:p w:rsidR="004035F4" w:rsidRPr="00F13DC9" w:rsidRDefault="00AE2352" w:rsidP="003C2FFD">
      <w:pPr>
        <w:autoSpaceDE w:val="0"/>
        <w:autoSpaceDN w:val="0"/>
        <w:adjustRightInd w:val="0"/>
        <w:spacing w:line="360" w:lineRule="auto"/>
        <w:ind w:firstLineChars="200" w:firstLine="482"/>
        <w:jc w:val="left"/>
        <w:rPr>
          <w:bCs/>
          <w:sz w:val="24"/>
          <w:szCs w:val="24"/>
        </w:rPr>
      </w:pPr>
      <w:r w:rsidRPr="00F13DC9">
        <w:rPr>
          <w:b/>
          <w:bCs/>
          <w:sz w:val="24"/>
          <w:szCs w:val="24"/>
        </w:rPr>
        <w:t>测定法</w:t>
      </w:r>
      <w:r w:rsidRPr="00F13DC9">
        <w:rPr>
          <w:b/>
          <w:bCs/>
          <w:sz w:val="24"/>
          <w:szCs w:val="24"/>
        </w:rPr>
        <w:t xml:space="preserve">  </w:t>
      </w:r>
      <w:r w:rsidRPr="00F13DC9">
        <w:rPr>
          <w:bCs/>
          <w:sz w:val="24"/>
          <w:szCs w:val="24"/>
        </w:rPr>
        <w:t>取锑标准溶液适量，用</w:t>
      </w:r>
      <w:r w:rsidRPr="00F13DC9">
        <w:rPr>
          <w:bCs/>
          <w:sz w:val="24"/>
          <w:szCs w:val="24"/>
        </w:rPr>
        <w:t>4%</w:t>
      </w:r>
      <w:r w:rsidRPr="00F13DC9">
        <w:rPr>
          <w:bCs/>
          <w:sz w:val="24"/>
          <w:szCs w:val="24"/>
        </w:rPr>
        <w:t>醋酸溶液稀释制成每</w:t>
      </w:r>
      <w:r w:rsidRPr="00F13DC9">
        <w:rPr>
          <w:bCs/>
          <w:sz w:val="24"/>
          <w:szCs w:val="24"/>
        </w:rPr>
        <w:t>1ml</w:t>
      </w:r>
      <w:r w:rsidRPr="00F13DC9">
        <w:rPr>
          <w:bCs/>
          <w:sz w:val="24"/>
          <w:szCs w:val="24"/>
        </w:rPr>
        <w:t>中含锑</w:t>
      </w:r>
      <w:r w:rsidRPr="00F13DC9">
        <w:rPr>
          <w:bCs/>
          <w:sz w:val="24"/>
          <w:szCs w:val="24"/>
        </w:rPr>
        <w:t>0</w:t>
      </w:r>
      <w:r w:rsidRPr="00F13DC9">
        <w:rPr>
          <w:rFonts w:eastAsia="微软雅黑"/>
          <w:bCs/>
          <w:sz w:val="24"/>
          <w:szCs w:val="24"/>
        </w:rPr>
        <w:t>〜</w:t>
      </w:r>
      <w:r w:rsidRPr="00F13DC9">
        <w:rPr>
          <w:bCs/>
          <w:sz w:val="24"/>
          <w:szCs w:val="24"/>
        </w:rPr>
        <w:t>30ng</w:t>
      </w:r>
      <w:r w:rsidRPr="00F13DC9">
        <w:rPr>
          <w:bCs/>
          <w:sz w:val="24"/>
          <w:szCs w:val="24"/>
        </w:rPr>
        <w:t>的</w:t>
      </w:r>
      <w:r w:rsidRPr="00F13DC9">
        <w:rPr>
          <w:sz w:val="24"/>
          <w:szCs w:val="24"/>
        </w:rPr>
        <w:t>标准系列溶液</w:t>
      </w:r>
      <w:r w:rsidRPr="00F13DC9">
        <w:rPr>
          <w:bCs/>
          <w:sz w:val="24"/>
          <w:szCs w:val="24"/>
        </w:rPr>
        <w:t>。分别取供试品溶液与标准品溶液</w:t>
      </w:r>
      <w:r w:rsidRPr="00F13DC9">
        <w:rPr>
          <w:bCs/>
          <w:sz w:val="24"/>
          <w:szCs w:val="24"/>
        </w:rPr>
        <w:t>20ml</w:t>
      </w:r>
      <w:r w:rsidRPr="00F13DC9">
        <w:rPr>
          <w:bCs/>
          <w:sz w:val="24"/>
          <w:szCs w:val="24"/>
        </w:rPr>
        <w:t>，加入盐酸</w:t>
      </w:r>
      <w:r w:rsidRPr="00F13DC9">
        <w:rPr>
          <w:bCs/>
          <w:sz w:val="24"/>
          <w:szCs w:val="24"/>
        </w:rPr>
        <w:t>1ml</w:t>
      </w:r>
      <w:r w:rsidRPr="00F13DC9">
        <w:rPr>
          <w:bCs/>
          <w:sz w:val="24"/>
          <w:szCs w:val="24"/>
        </w:rPr>
        <w:t>，加入预还原剂溶液</w:t>
      </w:r>
      <w:r w:rsidRPr="00F13DC9">
        <w:rPr>
          <w:bCs/>
          <w:sz w:val="24"/>
          <w:szCs w:val="24"/>
        </w:rPr>
        <w:t>5ml</w:t>
      </w:r>
      <w:r w:rsidRPr="00F13DC9">
        <w:rPr>
          <w:bCs/>
          <w:sz w:val="24"/>
          <w:szCs w:val="24"/>
        </w:rPr>
        <w:t>（分别称取硫脲</w:t>
      </w:r>
      <w:r w:rsidRPr="00F13DC9">
        <w:rPr>
          <w:bCs/>
          <w:sz w:val="24"/>
          <w:szCs w:val="24"/>
        </w:rPr>
        <w:t>10.0g</w:t>
      </w:r>
      <w:r w:rsidRPr="00F13DC9">
        <w:rPr>
          <w:bCs/>
          <w:sz w:val="24"/>
          <w:szCs w:val="24"/>
        </w:rPr>
        <w:t>与抗坏血酸</w:t>
      </w:r>
      <w:r w:rsidRPr="00F13DC9">
        <w:rPr>
          <w:bCs/>
          <w:sz w:val="24"/>
          <w:szCs w:val="24"/>
        </w:rPr>
        <w:t>10.0g</w:t>
      </w:r>
      <w:r w:rsidRPr="00F13DC9">
        <w:rPr>
          <w:bCs/>
          <w:sz w:val="24"/>
          <w:szCs w:val="24"/>
        </w:rPr>
        <w:t>，加水适量使溶解，用水稀释至</w:t>
      </w:r>
      <w:r w:rsidRPr="00F13DC9">
        <w:rPr>
          <w:bCs/>
          <w:sz w:val="24"/>
          <w:szCs w:val="24"/>
        </w:rPr>
        <w:t>100ml</w:t>
      </w:r>
      <w:r w:rsidRPr="00F13DC9">
        <w:rPr>
          <w:bCs/>
          <w:sz w:val="24"/>
          <w:szCs w:val="24"/>
        </w:rPr>
        <w:t>，</w:t>
      </w:r>
      <w:r w:rsidRPr="00F13DC9">
        <w:rPr>
          <w:bCs/>
          <w:color w:val="000000"/>
          <w:sz w:val="24"/>
          <w:szCs w:val="24"/>
        </w:rPr>
        <w:t>临用新制</w:t>
      </w:r>
      <w:r w:rsidRPr="00F13DC9">
        <w:rPr>
          <w:bCs/>
          <w:sz w:val="24"/>
          <w:szCs w:val="24"/>
        </w:rPr>
        <w:t>），放置</w:t>
      </w:r>
      <w:r w:rsidRPr="00F13DC9">
        <w:rPr>
          <w:bCs/>
          <w:sz w:val="24"/>
          <w:szCs w:val="24"/>
        </w:rPr>
        <w:t>30</w:t>
      </w:r>
      <w:r w:rsidRPr="00F13DC9">
        <w:rPr>
          <w:bCs/>
          <w:sz w:val="24"/>
          <w:szCs w:val="24"/>
        </w:rPr>
        <w:t>分钟后进行测定，同时取</w:t>
      </w:r>
      <w:r w:rsidRPr="00F13DC9">
        <w:rPr>
          <w:bCs/>
          <w:sz w:val="24"/>
          <w:szCs w:val="24"/>
        </w:rPr>
        <w:t>4%</w:t>
      </w:r>
      <w:r w:rsidRPr="00F13DC9">
        <w:rPr>
          <w:bCs/>
          <w:sz w:val="24"/>
          <w:szCs w:val="24"/>
        </w:rPr>
        <w:t>醋酸溶液</w:t>
      </w:r>
      <w:r w:rsidRPr="00F13DC9">
        <w:rPr>
          <w:bCs/>
          <w:sz w:val="24"/>
          <w:szCs w:val="24"/>
        </w:rPr>
        <w:t>20ml</w:t>
      </w:r>
      <w:r w:rsidRPr="00F13DC9">
        <w:rPr>
          <w:bCs/>
          <w:sz w:val="24"/>
          <w:szCs w:val="24"/>
        </w:rPr>
        <w:t>自</w:t>
      </w:r>
      <w:r w:rsidRPr="00F13DC9">
        <w:rPr>
          <w:bCs/>
          <w:sz w:val="24"/>
          <w:szCs w:val="24"/>
        </w:rPr>
        <w:t>“</w:t>
      </w:r>
      <w:r w:rsidRPr="00F13DC9">
        <w:rPr>
          <w:bCs/>
          <w:sz w:val="24"/>
          <w:szCs w:val="24"/>
        </w:rPr>
        <w:t>加入盐酸</w:t>
      </w:r>
      <w:r w:rsidRPr="00F13DC9">
        <w:rPr>
          <w:bCs/>
          <w:sz w:val="24"/>
          <w:szCs w:val="24"/>
        </w:rPr>
        <w:t>1ml….”</w:t>
      </w:r>
      <w:r w:rsidRPr="00F13DC9">
        <w:rPr>
          <w:bCs/>
          <w:sz w:val="24"/>
          <w:szCs w:val="24"/>
        </w:rPr>
        <w:t>起，依法制得标准空白溶液。</w:t>
      </w:r>
    </w:p>
    <w:p w:rsidR="004035F4" w:rsidRPr="00F13DC9" w:rsidRDefault="00AE2352" w:rsidP="003C2FFD">
      <w:pPr>
        <w:autoSpaceDE w:val="0"/>
        <w:autoSpaceDN w:val="0"/>
        <w:adjustRightInd w:val="0"/>
        <w:spacing w:line="360" w:lineRule="auto"/>
        <w:ind w:firstLineChars="200" w:firstLine="480"/>
        <w:jc w:val="left"/>
        <w:rPr>
          <w:bCs/>
          <w:sz w:val="24"/>
          <w:szCs w:val="24"/>
        </w:rPr>
      </w:pPr>
      <w:r w:rsidRPr="00F13DC9">
        <w:rPr>
          <w:bCs/>
          <w:sz w:val="24"/>
          <w:szCs w:val="24"/>
        </w:rPr>
        <w:t>将</w:t>
      </w:r>
      <w:r w:rsidRPr="00F13DC9">
        <w:rPr>
          <w:sz w:val="24"/>
          <w:szCs w:val="24"/>
        </w:rPr>
        <w:t>标准系列溶液</w:t>
      </w:r>
      <w:r w:rsidRPr="00F13DC9">
        <w:rPr>
          <w:bCs/>
          <w:sz w:val="24"/>
          <w:szCs w:val="24"/>
        </w:rPr>
        <w:t>由低浓度到高浓度依次导入原子荧光光度计后测其荧光强度值，以浓度为横坐标，荧光强度值为纵坐标，制作标准曲线，计算供试品溶液中锑的浓度。</w:t>
      </w:r>
    </w:p>
    <w:p w:rsidR="004035F4" w:rsidRPr="00F13DC9" w:rsidRDefault="00AE2352" w:rsidP="003C2FFD">
      <w:pPr>
        <w:autoSpaceDE w:val="0"/>
        <w:autoSpaceDN w:val="0"/>
        <w:adjustRightInd w:val="0"/>
        <w:spacing w:line="360" w:lineRule="auto"/>
        <w:ind w:firstLineChars="200" w:firstLine="480"/>
        <w:jc w:val="left"/>
        <w:rPr>
          <w:bCs/>
          <w:sz w:val="24"/>
          <w:szCs w:val="24"/>
        </w:rPr>
      </w:pPr>
      <w:r w:rsidRPr="00F13DC9">
        <w:rPr>
          <w:bCs/>
          <w:sz w:val="24"/>
          <w:szCs w:val="24"/>
        </w:rPr>
        <w:t>可根据仪器的灵敏度、线性范围及浸提液中锑的实际浓度确定标准曲线线性范围。</w:t>
      </w:r>
    </w:p>
    <w:p w:rsidR="004035F4" w:rsidRPr="00F13DC9" w:rsidRDefault="00AE2352" w:rsidP="003C2FFD">
      <w:pPr>
        <w:keepNext/>
        <w:keepLines/>
        <w:spacing w:line="360" w:lineRule="auto"/>
        <w:ind w:firstLineChars="150" w:firstLine="361"/>
        <w:outlineLvl w:val="1"/>
        <w:rPr>
          <w:bCs/>
          <w:sz w:val="24"/>
          <w:szCs w:val="24"/>
        </w:rPr>
      </w:pPr>
      <w:r w:rsidRPr="00F13DC9">
        <w:rPr>
          <w:b/>
          <w:bCs/>
          <w:sz w:val="24"/>
          <w:szCs w:val="24"/>
        </w:rPr>
        <w:lastRenderedPageBreak/>
        <w:t>【</w:t>
      </w:r>
      <w:r w:rsidRPr="00F13DC9">
        <w:rPr>
          <w:sz w:val="24"/>
          <w:szCs w:val="24"/>
        </w:rPr>
        <w:t>附注</w:t>
      </w:r>
      <w:r w:rsidRPr="00F13DC9">
        <w:rPr>
          <w:b/>
          <w:bCs/>
          <w:sz w:val="24"/>
          <w:szCs w:val="24"/>
        </w:rPr>
        <w:t>】</w:t>
      </w:r>
      <w:r w:rsidRPr="00F13DC9">
        <w:rPr>
          <w:b/>
          <w:bCs/>
          <w:sz w:val="24"/>
          <w:szCs w:val="24"/>
        </w:rPr>
        <w:t xml:space="preserve">  </w:t>
      </w:r>
      <w:r w:rsidRPr="00F13DC9">
        <w:rPr>
          <w:bCs/>
          <w:sz w:val="24"/>
          <w:szCs w:val="24"/>
        </w:rPr>
        <w:t>实验过程中推荐使用硬质塑料容器，如聚四氟乙烯容器，如使用玻璃容器应注意使用的容器不应影响检测结果。</w:t>
      </w:r>
    </w:p>
    <w:p w:rsidR="004035F4" w:rsidRPr="00F13DC9" w:rsidRDefault="00AE2352">
      <w:pPr>
        <w:pStyle w:val="a7"/>
        <w:suppressLineNumbers/>
        <w:spacing w:line="360" w:lineRule="auto"/>
        <w:ind w:firstLineChars="200" w:firstLine="480"/>
        <w:rPr>
          <w:rFonts w:ascii="Times New Roman" w:hAnsi="Times New Roman" w:cs="Times New Roman"/>
          <w:sz w:val="24"/>
          <w:szCs w:val="24"/>
        </w:rPr>
      </w:pPr>
      <w:r w:rsidRPr="00F13DC9">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121285</wp:posOffset>
                </wp:positionV>
                <wp:extent cx="5234940" cy="15240"/>
                <wp:effectExtent l="9525" t="6985" r="13335" b="63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anchor>
            </w:drawing>
          </mc:Choice>
          <mc:Fallback>
            <w:pict>
              <v:shapetype w14:anchorId="0280E2F1" id="_x0000_t32" coordsize="21600,21600" o:spt="32" o:oned="t" path="m,l21600,21600e" filled="f">
                <v:path arrowok="t" fillok="f" o:connecttype="none"/>
                <o:lock v:ext="edit" shapetype="t"/>
              </v:shapetype>
              <v:shape id="AutoShape 2" o:spid="_x0000_s1026" type="#_x0000_t32" style="position:absolute;left:0;text-align:left;margin-left:-5.25pt;margin-top:9.55pt;width:41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"/>
            </w:pict>
          </mc:Fallback>
        </mc:AlternateContent>
      </w:r>
    </w:p>
    <w:p w:rsidR="004035F4" w:rsidRPr="00F13DC9" w:rsidRDefault="00AE2352">
      <w:pPr>
        <w:pStyle w:val="a7"/>
        <w:suppressLineNumbers/>
        <w:spacing w:line="360" w:lineRule="auto"/>
        <w:ind w:firstLineChars="200" w:firstLine="480"/>
        <w:rPr>
          <w:rFonts w:ascii="Times New Roman" w:hAnsi="Times New Roman" w:cs="Times New Roman"/>
          <w:sz w:val="24"/>
          <w:szCs w:val="24"/>
        </w:rPr>
      </w:pPr>
      <w:r w:rsidRPr="00F13DC9">
        <w:rPr>
          <w:rFonts w:ascii="Times New Roman" w:hAnsi="Times New Roman" w:cs="Times New Roman"/>
          <w:sz w:val="24"/>
          <w:szCs w:val="24"/>
        </w:rPr>
        <w:t>起草单位：四川省药品检验研究院（四川省医疗器械检测中心）</w:t>
      </w:r>
      <w:r w:rsidRPr="00F13DC9">
        <w:rPr>
          <w:rFonts w:ascii="Times New Roman" w:hAnsi="Times New Roman" w:cs="Times New Roman"/>
          <w:sz w:val="24"/>
          <w:szCs w:val="24"/>
        </w:rPr>
        <w:t xml:space="preserve">        </w:t>
      </w:r>
      <w:r w:rsidRPr="00F13DC9">
        <w:rPr>
          <w:rFonts w:ascii="Times New Roman" w:hAnsi="Times New Roman" w:cs="Times New Roman"/>
          <w:sz w:val="24"/>
          <w:szCs w:val="24"/>
        </w:rPr>
        <w:t>联系电话：</w:t>
      </w:r>
      <w:r w:rsidRPr="00F13DC9">
        <w:rPr>
          <w:rFonts w:ascii="Times New Roman" w:hAnsi="Times New Roman" w:cs="Times New Roman"/>
          <w:sz w:val="24"/>
          <w:szCs w:val="24"/>
        </w:rPr>
        <w:t>028-64020264</w:t>
      </w:r>
    </w:p>
    <w:p w:rsidR="00480D2C" w:rsidRPr="00480D2C" w:rsidRDefault="00AE2352" w:rsidP="00480D2C">
      <w:pPr>
        <w:pStyle w:val="a7"/>
        <w:suppressLineNumbers/>
        <w:spacing w:line="360" w:lineRule="auto"/>
        <w:ind w:firstLineChars="200" w:firstLine="480"/>
        <w:rPr>
          <w:rFonts w:ascii="Times New Roman" w:hAnsi="Times New Roman" w:cs="Times New Roman"/>
          <w:sz w:val="24"/>
          <w:szCs w:val="24"/>
        </w:rPr>
      </w:pPr>
      <w:r w:rsidRPr="00F13DC9">
        <w:rPr>
          <w:rFonts w:ascii="Times New Roman" w:hAnsi="Times New Roman" w:cs="Times New Roman"/>
          <w:sz w:val="24"/>
          <w:szCs w:val="24"/>
        </w:rPr>
        <w:t>参与单位：中国食品药品检定研究院、湖南省医疗器械检验检测所、广东省医疗器械研究所、上海市食品药品包装材料测试所、</w:t>
      </w:r>
      <w:r w:rsidR="00480D2C" w:rsidRPr="00F13DC9">
        <w:rPr>
          <w:rFonts w:ascii="Times New Roman" w:hAnsi="Times New Roman" w:cs="Times New Roman"/>
          <w:sz w:val="24"/>
          <w:szCs w:val="24"/>
        </w:rPr>
        <w:t>江苏博生医用新材料股份有限公司</w:t>
      </w:r>
      <w:r w:rsidR="00480D2C">
        <w:rPr>
          <w:rFonts w:ascii="Times New Roman" w:hAnsi="Times New Roman" w:cs="Times New Roman" w:hint="eastAsia"/>
          <w:sz w:val="24"/>
          <w:szCs w:val="24"/>
        </w:rPr>
        <w:t>、</w:t>
      </w:r>
      <w:r w:rsidR="009C1599" w:rsidRPr="009C1599">
        <w:rPr>
          <w:rFonts w:ascii="Times New Roman" w:hAnsi="Times New Roman" w:cs="Times New Roman" w:hint="eastAsia"/>
          <w:sz w:val="24"/>
          <w:szCs w:val="24"/>
        </w:rPr>
        <w:t>山东省医疗器械和药品包装检验研究院</w:t>
      </w:r>
      <w:r w:rsidR="009C1599">
        <w:rPr>
          <w:rFonts w:ascii="Times New Roman" w:hAnsi="Times New Roman" w:cs="Times New Roman" w:hint="eastAsia"/>
          <w:sz w:val="24"/>
          <w:szCs w:val="24"/>
        </w:rPr>
        <w:t>、</w:t>
      </w:r>
      <w:r w:rsidR="009C1599" w:rsidRPr="009C1599">
        <w:rPr>
          <w:rFonts w:ascii="Times New Roman" w:hAnsi="Times New Roman" w:cs="Times New Roman" w:hint="eastAsia"/>
          <w:sz w:val="24"/>
          <w:szCs w:val="24"/>
        </w:rPr>
        <w:t>中国医药包装协会</w:t>
      </w:r>
      <w:r w:rsidR="00480D2C">
        <w:rPr>
          <w:rFonts w:ascii="Times New Roman" w:hAnsi="Times New Roman" w:cs="Times New Roman" w:hint="eastAsia"/>
          <w:sz w:val="24"/>
          <w:szCs w:val="24"/>
        </w:rPr>
        <w:t>、</w:t>
      </w:r>
      <w:r w:rsidR="00480D2C" w:rsidRPr="00480D2C">
        <w:rPr>
          <w:rFonts w:ascii="Times New Roman" w:hAnsi="Times New Roman" w:cs="Times New Roman"/>
          <w:sz w:val="24"/>
          <w:szCs w:val="24"/>
        </w:rPr>
        <w:t>江阴市海华橡塑有限公司</w:t>
      </w:r>
    </w:p>
    <w:p w:rsidR="004035F4" w:rsidRPr="00480D2C" w:rsidRDefault="004035F4" w:rsidP="00480D2C">
      <w:pPr>
        <w:pStyle w:val="a7"/>
        <w:suppressLineNumbers/>
        <w:spacing w:line="360" w:lineRule="auto"/>
        <w:ind w:firstLineChars="200" w:firstLine="480"/>
        <w:rPr>
          <w:rFonts w:ascii="Times New Roman" w:hAnsi="Times New Roman" w:cs="Times New Roman"/>
          <w:sz w:val="24"/>
          <w:szCs w:val="24"/>
        </w:rPr>
      </w:pP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 xml:space="preserve">  </w:t>
      </w:r>
    </w:p>
    <w:p w:rsidR="004035F4" w:rsidRDefault="00AE2352">
      <w:pPr>
        <w:pStyle w:val="a7"/>
        <w:suppressLineNumbers/>
        <w:spacing w:line="360" w:lineRule="auto"/>
        <w:jc w:val="center"/>
        <w:rPr>
          <w:rFonts w:ascii="Times New Roman" w:hAnsi="Times New Roman" w:cs="Times New Roman"/>
          <w:b/>
          <w:sz w:val="24"/>
          <w:szCs w:val="24"/>
        </w:rPr>
      </w:pPr>
      <w:r w:rsidRPr="00F13DC9">
        <w:rPr>
          <w:rFonts w:ascii="Times New Roman" w:hAnsi="Times New Roman" w:cs="Times New Roman"/>
          <w:b/>
          <w:sz w:val="24"/>
          <w:szCs w:val="24"/>
        </w:rPr>
        <w:t>药包材金属元素、金属离子测定法起草说明</w:t>
      </w:r>
    </w:p>
    <w:p w:rsidR="000B07AD" w:rsidRPr="00F13DC9" w:rsidRDefault="000B07AD">
      <w:pPr>
        <w:pStyle w:val="a7"/>
        <w:suppressLineNumbers/>
        <w:spacing w:line="360" w:lineRule="auto"/>
        <w:jc w:val="center"/>
        <w:rPr>
          <w:rFonts w:ascii="Times New Roman" w:hAnsi="Times New Roman" w:cs="Times New Roman"/>
          <w:b/>
          <w:sz w:val="24"/>
          <w:szCs w:val="24"/>
        </w:rPr>
      </w:pP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一、制定的目的意义</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1.</w:t>
      </w:r>
      <w:r w:rsidR="000B07AD">
        <w:rPr>
          <w:rFonts w:ascii="Times New Roman" w:hAnsi="Times New Roman" w:cs="Times New Roman"/>
          <w:sz w:val="24"/>
          <w:szCs w:val="24"/>
        </w:rPr>
        <w:t xml:space="preserve"> </w:t>
      </w:r>
      <w:r w:rsidRPr="00F13DC9">
        <w:rPr>
          <w:rFonts w:ascii="Times New Roman" w:hAnsi="Times New Roman" w:cs="Times New Roman"/>
          <w:sz w:val="24"/>
          <w:szCs w:val="24"/>
        </w:rPr>
        <w:t>塑料输液容器、玻璃及橡胶密封件在生产加工过程中因原料引入、工艺残留的有害金属元素及金属离子可能影响药品质量和安全，因此对其进行控制是非常有必要的。</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2.</w:t>
      </w:r>
      <w:r w:rsidR="000B07AD">
        <w:rPr>
          <w:rFonts w:ascii="Times New Roman" w:hAnsi="Times New Roman" w:cs="Times New Roman"/>
          <w:sz w:val="24"/>
          <w:szCs w:val="24"/>
        </w:rPr>
        <w:t xml:space="preserve"> </w:t>
      </w:r>
      <w:r w:rsidRPr="00F13DC9">
        <w:rPr>
          <w:rFonts w:ascii="Times New Roman" w:hAnsi="Times New Roman" w:cs="Times New Roman"/>
          <w:sz w:val="24"/>
          <w:szCs w:val="24"/>
        </w:rPr>
        <w:t>形成</w:t>
      </w:r>
      <w:r w:rsidRPr="00F13DC9">
        <w:rPr>
          <w:rFonts w:ascii="Times New Roman" w:hAnsi="Times New Roman" w:cs="Times New Roman"/>
          <w:sz w:val="24"/>
          <w:szCs w:val="24"/>
        </w:rPr>
        <w:t>“</w:t>
      </w:r>
      <w:r w:rsidRPr="00F13DC9">
        <w:rPr>
          <w:rFonts w:ascii="Times New Roman" w:hAnsi="Times New Roman" w:cs="Times New Roman"/>
          <w:sz w:val="24"/>
          <w:szCs w:val="24"/>
        </w:rPr>
        <w:t>药包材金属元素、金属离子测定法</w:t>
      </w:r>
      <w:r w:rsidRPr="00F13DC9">
        <w:rPr>
          <w:rFonts w:ascii="Times New Roman" w:hAnsi="Times New Roman" w:cs="Times New Roman"/>
          <w:sz w:val="24"/>
          <w:szCs w:val="24"/>
        </w:rPr>
        <w:t>”</w:t>
      </w:r>
      <w:r w:rsidRPr="00F13DC9">
        <w:rPr>
          <w:rFonts w:ascii="Times New Roman" w:hAnsi="Times New Roman" w:cs="Times New Roman"/>
          <w:sz w:val="24"/>
          <w:szCs w:val="24"/>
        </w:rPr>
        <w:t>方法标准，科学有效指导塑料输液容器、玻璃及橡胶密封件金属元素、金属离子的测定。</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二、起草过程</w:t>
      </w:r>
    </w:p>
    <w:p w:rsidR="004035F4"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1</w:t>
      </w:r>
      <w:r w:rsidR="006072C9">
        <w:rPr>
          <w:rFonts w:ascii="Times New Roman" w:hAnsi="Times New Roman" w:cs="Times New Roman"/>
          <w:sz w:val="24"/>
          <w:szCs w:val="24"/>
        </w:rPr>
        <w:t xml:space="preserve">. </w:t>
      </w:r>
      <w:r w:rsidRPr="00F13DC9">
        <w:rPr>
          <w:rFonts w:ascii="Times New Roman" w:hAnsi="Times New Roman" w:cs="Times New Roman"/>
          <w:sz w:val="24"/>
          <w:szCs w:val="24"/>
        </w:rPr>
        <w:t>查阅国内外相关标准并进行了标准比对。</w:t>
      </w:r>
      <w:r w:rsidRPr="00F13DC9">
        <w:rPr>
          <w:rFonts w:ascii="Times New Roman" w:hAnsi="Times New Roman" w:cs="Times New Roman"/>
          <w:sz w:val="24"/>
          <w:szCs w:val="24"/>
        </w:rPr>
        <w:t xml:space="preserve"> </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2</w:t>
      </w:r>
      <w:r w:rsidR="006072C9">
        <w:rPr>
          <w:rFonts w:ascii="Times New Roman" w:hAnsi="Times New Roman" w:cs="Times New Roman"/>
          <w:sz w:val="24"/>
          <w:szCs w:val="24"/>
        </w:rPr>
        <w:t xml:space="preserve">. </w:t>
      </w:r>
      <w:r w:rsidR="00FD1C9C" w:rsidRPr="00F13DC9">
        <w:rPr>
          <w:rFonts w:ascii="Times New Roman" w:hAnsi="Times New Roman" w:cs="Times New Roman"/>
          <w:sz w:val="24"/>
          <w:szCs w:val="24"/>
        </w:rPr>
        <w:t>结合中国食品药品检定研究院</w:t>
      </w:r>
      <w:r w:rsidR="00FD1C9C" w:rsidRPr="00F13DC9">
        <w:rPr>
          <w:rFonts w:ascii="Times New Roman" w:hAnsi="Times New Roman" w:cs="Times New Roman"/>
          <w:sz w:val="24"/>
          <w:szCs w:val="24"/>
        </w:rPr>
        <w:t>“</w:t>
      </w:r>
      <w:r w:rsidR="00FD1C9C" w:rsidRPr="00F13DC9">
        <w:rPr>
          <w:rFonts w:ascii="Times New Roman" w:hAnsi="Times New Roman" w:cs="Times New Roman"/>
          <w:sz w:val="24"/>
          <w:szCs w:val="24"/>
        </w:rPr>
        <w:t>药用玻璃材料和容器砷、锑、铅、镉浸出量测定法</w:t>
      </w:r>
      <w:r w:rsidR="00FD1C9C" w:rsidRPr="00F13DC9">
        <w:rPr>
          <w:rFonts w:ascii="Times New Roman" w:hAnsi="Times New Roman" w:cs="Times New Roman"/>
          <w:sz w:val="24"/>
          <w:szCs w:val="24"/>
        </w:rPr>
        <w:t>”</w:t>
      </w:r>
      <w:r w:rsidR="00FD1C9C" w:rsidRPr="00F13DC9">
        <w:rPr>
          <w:rFonts w:ascii="Times New Roman" w:hAnsi="Times New Roman" w:cs="Times New Roman"/>
          <w:sz w:val="24"/>
          <w:szCs w:val="24"/>
        </w:rPr>
        <w:t>和湖南省医疗器械检验检测所</w:t>
      </w:r>
      <w:r w:rsidR="00FD1C9C" w:rsidRPr="00F13DC9">
        <w:rPr>
          <w:rFonts w:ascii="Times New Roman" w:hAnsi="Times New Roman" w:cs="Times New Roman"/>
          <w:sz w:val="24"/>
          <w:szCs w:val="24"/>
        </w:rPr>
        <w:t>“</w:t>
      </w:r>
      <w:r w:rsidR="00FD1C9C" w:rsidRPr="00F13DC9">
        <w:rPr>
          <w:rFonts w:ascii="Times New Roman" w:hAnsi="Times New Roman" w:cs="Times New Roman"/>
          <w:sz w:val="24"/>
          <w:szCs w:val="24"/>
        </w:rPr>
        <w:t>塑料输液容器中金属离子测定法</w:t>
      </w:r>
      <w:r w:rsidR="00FD1C9C" w:rsidRPr="00F13DC9">
        <w:rPr>
          <w:rFonts w:ascii="Times New Roman" w:hAnsi="Times New Roman" w:cs="Times New Roman"/>
          <w:sz w:val="24"/>
          <w:szCs w:val="24"/>
        </w:rPr>
        <w:t>”</w:t>
      </w:r>
      <w:r w:rsidR="00FD1C9C" w:rsidRPr="00F13DC9">
        <w:rPr>
          <w:rFonts w:ascii="Times New Roman" w:hAnsi="Times New Roman" w:cs="Times New Roman"/>
          <w:sz w:val="24"/>
          <w:szCs w:val="24"/>
        </w:rPr>
        <w:t>标准提高课题</w:t>
      </w:r>
      <w:r w:rsidR="00FD1C9C">
        <w:rPr>
          <w:rFonts w:ascii="Times New Roman" w:hAnsi="Times New Roman" w:cs="Times New Roman" w:hint="eastAsia"/>
          <w:sz w:val="24"/>
          <w:szCs w:val="24"/>
        </w:rPr>
        <w:t>研究资料</w:t>
      </w:r>
      <w:r w:rsidR="00FD1C9C" w:rsidRPr="00D812E6">
        <w:rPr>
          <w:rFonts w:ascii="Times New Roman" w:hAnsi="Times New Roman" w:cs="Times New Roman"/>
          <w:sz w:val="24"/>
          <w:szCs w:val="24"/>
        </w:rPr>
        <w:t>，</w:t>
      </w:r>
      <w:r w:rsidR="00FD1C9C">
        <w:rPr>
          <w:rFonts w:ascii="Times New Roman" w:hAnsi="Times New Roman" w:cs="Times New Roman" w:hint="eastAsia"/>
          <w:sz w:val="24"/>
          <w:szCs w:val="24"/>
        </w:rPr>
        <w:t>并</w:t>
      </w:r>
      <w:r w:rsidRPr="00F13DC9">
        <w:rPr>
          <w:rFonts w:ascii="Times New Roman" w:hAnsi="Times New Roman" w:cs="Times New Roman"/>
          <w:sz w:val="24"/>
          <w:szCs w:val="24"/>
        </w:rPr>
        <w:t>与参与单位沟通交流，设计标准制定的方案，编写草案。</w:t>
      </w:r>
      <w:r w:rsidRPr="00F13DC9">
        <w:rPr>
          <w:rFonts w:ascii="Times New Roman" w:hAnsi="Times New Roman" w:cs="Times New Roman"/>
          <w:sz w:val="24"/>
          <w:szCs w:val="24"/>
        </w:rPr>
        <w:t xml:space="preserve"> </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3</w:t>
      </w:r>
      <w:r w:rsidR="006072C9">
        <w:rPr>
          <w:rFonts w:ascii="Times New Roman" w:hAnsi="Times New Roman" w:cs="Times New Roman"/>
          <w:sz w:val="24"/>
          <w:szCs w:val="24"/>
        </w:rPr>
        <w:t xml:space="preserve">. </w:t>
      </w:r>
      <w:r w:rsidRPr="00F13DC9">
        <w:rPr>
          <w:rFonts w:ascii="Times New Roman" w:hAnsi="Times New Roman" w:cs="Times New Roman"/>
          <w:sz w:val="24"/>
          <w:szCs w:val="24"/>
        </w:rPr>
        <w:t>形成</w:t>
      </w:r>
      <w:r w:rsidRPr="00F13DC9">
        <w:rPr>
          <w:rFonts w:ascii="Times New Roman" w:hAnsi="Times New Roman" w:cs="Times New Roman"/>
          <w:sz w:val="24"/>
          <w:szCs w:val="24"/>
        </w:rPr>
        <w:t>“</w:t>
      </w:r>
      <w:r w:rsidRPr="00F13DC9">
        <w:rPr>
          <w:rFonts w:ascii="Times New Roman" w:hAnsi="Times New Roman" w:cs="Times New Roman"/>
          <w:sz w:val="24"/>
          <w:szCs w:val="24"/>
        </w:rPr>
        <w:t>药包材金属元素、金属离子测定法</w:t>
      </w:r>
      <w:r w:rsidRPr="00F13DC9">
        <w:rPr>
          <w:rFonts w:ascii="Times New Roman" w:hAnsi="Times New Roman" w:cs="Times New Roman"/>
          <w:sz w:val="24"/>
          <w:szCs w:val="24"/>
        </w:rPr>
        <w:t>”</w:t>
      </w:r>
      <w:r w:rsidRPr="00F13DC9">
        <w:rPr>
          <w:rFonts w:ascii="Times New Roman" w:hAnsi="Times New Roman" w:cs="Times New Roman"/>
          <w:sz w:val="24"/>
          <w:szCs w:val="24"/>
        </w:rPr>
        <w:t>征求意见稿。</w:t>
      </w:r>
      <w:r w:rsidRPr="00F13DC9">
        <w:rPr>
          <w:rFonts w:ascii="Times New Roman" w:hAnsi="Times New Roman" w:cs="Times New Roman"/>
          <w:sz w:val="24"/>
          <w:szCs w:val="24"/>
        </w:rPr>
        <w:t xml:space="preserve"> </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三、制修订的总体思路</w:t>
      </w:r>
    </w:p>
    <w:p w:rsidR="004035F4" w:rsidRPr="00F13DC9" w:rsidRDefault="0091689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遵循药典委对药包材标准体系的架构思路，</w:t>
      </w:r>
      <w:r w:rsidR="00AE2352" w:rsidRPr="00F13DC9">
        <w:rPr>
          <w:rFonts w:ascii="Times New Roman" w:hAnsi="Times New Roman" w:cs="Times New Roman"/>
          <w:sz w:val="24"/>
          <w:szCs w:val="24"/>
        </w:rPr>
        <w:t>基于</w:t>
      </w:r>
      <w:r w:rsidR="00FD1C9C">
        <w:rPr>
          <w:rFonts w:ascii="Times New Roman" w:hAnsi="Times New Roman" w:cs="Times New Roman" w:hint="eastAsia"/>
          <w:sz w:val="24"/>
          <w:szCs w:val="24"/>
        </w:rPr>
        <w:t>《</w:t>
      </w:r>
      <w:r w:rsidR="00AE2352" w:rsidRPr="00F13DC9">
        <w:rPr>
          <w:rFonts w:ascii="Times New Roman" w:hAnsi="Times New Roman" w:cs="Times New Roman"/>
          <w:sz w:val="24"/>
          <w:szCs w:val="24"/>
        </w:rPr>
        <w:t>国家药包材标准</w:t>
      </w:r>
      <w:r w:rsidR="00FD1C9C">
        <w:rPr>
          <w:rFonts w:ascii="Times New Roman" w:hAnsi="Times New Roman" w:cs="Times New Roman" w:hint="eastAsia"/>
          <w:sz w:val="24"/>
          <w:szCs w:val="24"/>
        </w:rPr>
        <w:t>》</w:t>
      </w:r>
      <w:r w:rsidR="00AE2352" w:rsidRPr="00F13DC9">
        <w:rPr>
          <w:rFonts w:ascii="Times New Roman" w:hAnsi="Times New Roman" w:cs="Times New Roman"/>
          <w:sz w:val="24"/>
          <w:szCs w:val="24"/>
        </w:rPr>
        <w:t>中塑料、玻璃、橡胶类包材金属元素、金属离子的测定方法、《中国药典》中</w:t>
      </w:r>
      <w:r w:rsidR="00AE2352" w:rsidRPr="00F13DC9">
        <w:rPr>
          <w:rFonts w:ascii="Times New Roman" w:hAnsi="Times New Roman" w:cs="Times New Roman"/>
          <w:sz w:val="24"/>
          <w:szCs w:val="24"/>
        </w:rPr>
        <w:lastRenderedPageBreak/>
        <w:t>关于金属元素、金属离子的测定方法以及</w:t>
      </w:r>
      <w:r>
        <w:rPr>
          <w:rFonts w:ascii="Times New Roman" w:hAnsi="Times New Roman" w:cs="Times New Roman" w:hint="eastAsia"/>
          <w:sz w:val="24"/>
          <w:szCs w:val="24"/>
        </w:rPr>
        <w:t>《</w:t>
      </w:r>
      <w:r w:rsidR="00AE2352" w:rsidRPr="00F13DC9">
        <w:rPr>
          <w:rFonts w:ascii="Times New Roman" w:hAnsi="Times New Roman" w:cs="Times New Roman"/>
          <w:sz w:val="24"/>
          <w:szCs w:val="24"/>
        </w:rPr>
        <w:t>美国药典</w:t>
      </w:r>
      <w:r>
        <w:rPr>
          <w:rFonts w:ascii="Times New Roman" w:hAnsi="Times New Roman" w:cs="Times New Roman" w:hint="eastAsia"/>
          <w:sz w:val="24"/>
          <w:szCs w:val="24"/>
        </w:rPr>
        <w:t>》</w:t>
      </w:r>
      <w:r w:rsidR="00AE2352" w:rsidRPr="00F13DC9">
        <w:rPr>
          <w:rFonts w:ascii="Times New Roman" w:hAnsi="Times New Roman" w:cs="Times New Roman"/>
          <w:sz w:val="24"/>
          <w:szCs w:val="24"/>
        </w:rPr>
        <w:t>和</w:t>
      </w:r>
      <w:r>
        <w:rPr>
          <w:rFonts w:ascii="Times New Roman" w:hAnsi="Times New Roman" w:cs="Times New Roman" w:hint="eastAsia"/>
          <w:sz w:val="24"/>
          <w:szCs w:val="24"/>
        </w:rPr>
        <w:t>《</w:t>
      </w:r>
      <w:r w:rsidR="00AE2352" w:rsidRPr="00F13DC9">
        <w:rPr>
          <w:rFonts w:ascii="Times New Roman" w:hAnsi="Times New Roman" w:cs="Times New Roman"/>
          <w:sz w:val="24"/>
          <w:szCs w:val="24"/>
        </w:rPr>
        <w:t>欧洲药典</w:t>
      </w:r>
      <w:r>
        <w:rPr>
          <w:rFonts w:ascii="Times New Roman" w:hAnsi="Times New Roman" w:cs="Times New Roman" w:hint="eastAsia"/>
          <w:sz w:val="24"/>
          <w:szCs w:val="24"/>
        </w:rPr>
        <w:t>》</w:t>
      </w:r>
      <w:r w:rsidR="00AE2352" w:rsidRPr="00F13DC9">
        <w:rPr>
          <w:rFonts w:ascii="Times New Roman" w:hAnsi="Times New Roman" w:cs="Times New Roman"/>
          <w:sz w:val="24"/>
          <w:szCs w:val="24"/>
        </w:rPr>
        <w:t>，</w:t>
      </w:r>
      <w:r w:rsidRPr="00D812E6">
        <w:rPr>
          <w:rFonts w:ascii="Times New Roman" w:hAnsi="Times New Roman" w:cs="Times New Roman"/>
          <w:sz w:val="24"/>
          <w:szCs w:val="24"/>
        </w:rPr>
        <w:t>制定本测定法</w:t>
      </w:r>
      <w:r w:rsidR="00AE2352" w:rsidRPr="00F13DC9">
        <w:rPr>
          <w:rFonts w:ascii="Times New Roman" w:hAnsi="Times New Roman" w:cs="Times New Roman"/>
          <w:sz w:val="24"/>
          <w:szCs w:val="24"/>
        </w:rPr>
        <w:t>。</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四、需说明的问题</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1</w:t>
      </w:r>
      <w:r w:rsidR="006072C9">
        <w:rPr>
          <w:rFonts w:ascii="Times New Roman" w:hAnsi="Times New Roman" w:cs="Times New Roman" w:hint="eastAsia"/>
          <w:sz w:val="24"/>
          <w:szCs w:val="24"/>
        </w:rPr>
        <w:t>.</w:t>
      </w:r>
      <w:r w:rsidR="006072C9">
        <w:rPr>
          <w:rFonts w:ascii="Times New Roman" w:hAnsi="Times New Roman" w:cs="Times New Roman"/>
          <w:sz w:val="24"/>
          <w:szCs w:val="24"/>
        </w:rPr>
        <w:t xml:space="preserve"> </w:t>
      </w:r>
      <w:r w:rsidRPr="00F13DC9">
        <w:rPr>
          <w:rFonts w:ascii="Times New Roman" w:hAnsi="Times New Roman" w:cs="Times New Roman"/>
          <w:sz w:val="24"/>
          <w:szCs w:val="24"/>
        </w:rPr>
        <w:t>本标准分为三个部分，第</w:t>
      </w:r>
      <w:r w:rsidRPr="00F13DC9">
        <w:rPr>
          <w:rFonts w:ascii="Times New Roman" w:hAnsi="Times New Roman" w:cs="Times New Roman"/>
          <w:sz w:val="24"/>
          <w:szCs w:val="24"/>
        </w:rPr>
        <w:t>1</w:t>
      </w:r>
      <w:r w:rsidRPr="00F13DC9">
        <w:rPr>
          <w:rFonts w:ascii="Times New Roman" w:hAnsi="Times New Roman" w:cs="Times New Roman"/>
          <w:sz w:val="24"/>
          <w:szCs w:val="24"/>
        </w:rPr>
        <w:t>部分为供试品溶液的制备，包括塑料输液容器、玻璃、橡胶密封件三个大品类；第</w:t>
      </w:r>
      <w:r w:rsidRPr="00F13DC9">
        <w:rPr>
          <w:rFonts w:ascii="Times New Roman" w:hAnsi="Times New Roman" w:cs="Times New Roman"/>
          <w:sz w:val="24"/>
          <w:szCs w:val="24"/>
        </w:rPr>
        <w:t>2</w:t>
      </w:r>
      <w:r w:rsidRPr="00F13DC9">
        <w:rPr>
          <w:rFonts w:ascii="Times New Roman" w:hAnsi="Times New Roman" w:cs="Times New Roman"/>
          <w:sz w:val="24"/>
          <w:szCs w:val="24"/>
        </w:rPr>
        <w:t>部分为标准溶液的制备，分别为塑料输液容器、玻璃、橡胶密封件；第</w:t>
      </w:r>
      <w:r w:rsidRPr="00F13DC9">
        <w:rPr>
          <w:rFonts w:ascii="Times New Roman" w:hAnsi="Times New Roman" w:cs="Times New Roman"/>
          <w:sz w:val="24"/>
          <w:szCs w:val="24"/>
        </w:rPr>
        <w:t>3</w:t>
      </w:r>
      <w:r w:rsidRPr="00F13DC9">
        <w:rPr>
          <w:rFonts w:ascii="Times New Roman" w:hAnsi="Times New Roman" w:cs="Times New Roman"/>
          <w:sz w:val="24"/>
          <w:szCs w:val="24"/>
        </w:rPr>
        <w:t>部分为测定法，包括电感耦合等离子体质谱法（</w:t>
      </w:r>
      <w:r w:rsidRPr="00F13DC9">
        <w:rPr>
          <w:rFonts w:ascii="Times New Roman" w:hAnsi="Times New Roman" w:cs="Times New Roman"/>
          <w:sz w:val="24"/>
          <w:szCs w:val="24"/>
        </w:rPr>
        <w:t>ICP-MS</w:t>
      </w:r>
      <w:r w:rsidRPr="00F13DC9">
        <w:rPr>
          <w:rFonts w:ascii="Times New Roman" w:hAnsi="Times New Roman" w:cs="Times New Roman"/>
          <w:sz w:val="24"/>
          <w:szCs w:val="24"/>
        </w:rPr>
        <w:t>）、电感耦合等离子体原子发射光谱法（</w:t>
      </w:r>
      <w:r w:rsidRPr="00F13DC9">
        <w:rPr>
          <w:rFonts w:ascii="Times New Roman" w:hAnsi="Times New Roman" w:cs="Times New Roman"/>
          <w:sz w:val="24"/>
          <w:szCs w:val="24"/>
        </w:rPr>
        <w:t>ICP-OES</w:t>
      </w:r>
      <w:r w:rsidRPr="00F13DC9">
        <w:rPr>
          <w:rFonts w:ascii="Times New Roman" w:hAnsi="Times New Roman" w:cs="Times New Roman"/>
          <w:sz w:val="24"/>
          <w:szCs w:val="24"/>
        </w:rPr>
        <w:t>）、原子吸收分光光度法、原子荧光光谱法。</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2</w:t>
      </w:r>
      <w:r w:rsidR="006072C9">
        <w:rPr>
          <w:rFonts w:ascii="Times New Roman" w:hAnsi="Times New Roman" w:cs="Times New Roman" w:hint="eastAsia"/>
          <w:sz w:val="24"/>
          <w:szCs w:val="24"/>
        </w:rPr>
        <w:t>.</w:t>
      </w:r>
      <w:r w:rsidR="006072C9">
        <w:rPr>
          <w:rFonts w:ascii="Times New Roman" w:hAnsi="Times New Roman" w:cs="Times New Roman"/>
          <w:sz w:val="24"/>
          <w:szCs w:val="24"/>
        </w:rPr>
        <w:t xml:space="preserve"> </w:t>
      </w:r>
      <w:r w:rsidRPr="00F13DC9">
        <w:rPr>
          <w:rFonts w:ascii="Times New Roman" w:hAnsi="Times New Roman" w:cs="Times New Roman"/>
          <w:sz w:val="24"/>
          <w:szCs w:val="24"/>
        </w:rPr>
        <w:t>供试品的制备：塑料输液容器的金属元素与金属离子制样均按照</w:t>
      </w:r>
      <w:r w:rsidRPr="00F13DC9">
        <w:rPr>
          <w:rFonts w:ascii="Times New Roman" w:hAnsi="Times New Roman" w:cs="Times New Roman"/>
          <w:sz w:val="24"/>
          <w:szCs w:val="24"/>
        </w:rPr>
        <w:t>YBB</w:t>
      </w:r>
      <w:r w:rsidRPr="00F13DC9">
        <w:rPr>
          <w:rFonts w:ascii="Times New Roman" w:hAnsi="Times New Roman" w:cs="Times New Roman"/>
          <w:sz w:val="24"/>
          <w:szCs w:val="24"/>
        </w:rPr>
        <w:t>标准中相关方法，金属元素的制样方法增加了微波消解法。玻璃类制样方法按照</w:t>
      </w:r>
      <w:r w:rsidRPr="00F13DC9">
        <w:rPr>
          <w:rFonts w:ascii="Times New Roman" w:hAnsi="Times New Roman" w:cs="Times New Roman"/>
          <w:sz w:val="24"/>
          <w:szCs w:val="24"/>
        </w:rPr>
        <w:t>YBB</w:t>
      </w:r>
      <w:r w:rsidRPr="00F13DC9">
        <w:rPr>
          <w:rFonts w:ascii="Times New Roman" w:hAnsi="Times New Roman" w:cs="Times New Roman"/>
          <w:sz w:val="24"/>
          <w:szCs w:val="24"/>
        </w:rPr>
        <w:t>标准中相关方法。橡胶密封件金属离子制样方法按照</w:t>
      </w:r>
      <w:r w:rsidRPr="00F13DC9">
        <w:rPr>
          <w:rFonts w:ascii="Times New Roman" w:hAnsi="Times New Roman" w:cs="Times New Roman"/>
          <w:sz w:val="24"/>
          <w:szCs w:val="24"/>
        </w:rPr>
        <w:t>YBB</w:t>
      </w:r>
      <w:r w:rsidRPr="00F13DC9">
        <w:rPr>
          <w:rFonts w:ascii="Times New Roman" w:hAnsi="Times New Roman" w:cs="Times New Roman"/>
          <w:sz w:val="24"/>
          <w:szCs w:val="24"/>
        </w:rPr>
        <w:t>标准中相关化学性能的制样方法。</w:t>
      </w:r>
    </w:p>
    <w:p w:rsidR="004035F4" w:rsidRPr="00F13DC9" w:rsidRDefault="00AE2352">
      <w:pPr>
        <w:pStyle w:val="a7"/>
        <w:suppressLineNumbers/>
        <w:spacing w:line="360" w:lineRule="auto"/>
        <w:ind w:firstLineChars="200" w:firstLine="480"/>
        <w:jc w:val="left"/>
        <w:rPr>
          <w:rFonts w:ascii="Times New Roman" w:hAnsi="Times New Roman" w:cs="Times New Roman"/>
          <w:sz w:val="24"/>
          <w:szCs w:val="24"/>
        </w:rPr>
      </w:pPr>
      <w:r w:rsidRPr="00F13DC9">
        <w:rPr>
          <w:rFonts w:ascii="Times New Roman" w:hAnsi="Times New Roman" w:cs="Times New Roman"/>
          <w:sz w:val="24"/>
          <w:szCs w:val="24"/>
        </w:rPr>
        <w:t>3</w:t>
      </w:r>
      <w:r w:rsidR="006072C9">
        <w:rPr>
          <w:rFonts w:ascii="Times New Roman" w:hAnsi="Times New Roman" w:cs="Times New Roman" w:hint="eastAsia"/>
          <w:sz w:val="24"/>
          <w:szCs w:val="24"/>
        </w:rPr>
        <w:t xml:space="preserve">. </w:t>
      </w:r>
      <w:r w:rsidRPr="00F13DC9">
        <w:rPr>
          <w:rFonts w:ascii="Times New Roman" w:hAnsi="Times New Roman" w:cs="Times New Roman"/>
          <w:sz w:val="24"/>
          <w:szCs w:val="24"/>
        </w:rPr>
        <w:t>测定法：本方法收载了《中国药典》</w:t>
      </w:r>
      <w:r w:rsidRPr="00F13DC9">
        <w:rPr>
          <w:rFonts w:ascii="Times New Roman" w:hAnsi="Times New Roman" w:cs="Times New Roman"/>
          <w:sz w:val="24"/>
          <w:szCs w:val="24"/>
        </w:rPr>
        <w:t>2020</w:t>
      </w:r>
      <w:r w:rsidRPr="00F13DC9">
        <w:rPr>
          <w:rFonts w:ascii="Times New Roman" w:hAnsi="Times New Roman" w:cs="Times New Roman"/>
          <w:sz w:val="24"/>
          <w:szCs w:val="24"/>
        </w:rPr>
        <w:t>版四部通则中原子吸收分光光度法、电感耦合等离子质谱法（</w:t>
      </w:r>
      <w:r w:rsidRPr="00F13DC9">
        <w:rPr>
          <w:rFonts w:ascii="Times New Roman" w:hAnsi="Times New Roman" w:cs="Times New Roman"/>
          <w:sz w:val="24"/>
          <w:szCs w:val="24"/>
        </w:rPr>
        <w:t>ICP-MS</w:t>
      </w:r>
      <w:r w:rsidRPr="00F13DC9">
        <w:rPr>
          <w:rFonts w:ascii="Times New Roman" w:hAnsi="Times New Roman" w:cs="Times New Roman"/>
          <w:sz w:val="24"/>
          <w:szCs w:val="24"/>
        </w:rPr>
        <w:t>）、电感耦合等离子体原子发射光谱法（</w:t>
      </w:r>
      <w:r w:rsidRPr="00F13DC9">
        <w:rPr>
          <w:rFonts w:ascii="Times New Roman" w:hAnsi="Times New Roman" w:cs="Times New Roman"/>
          <w:sz w:val="24"/>
          <w:szCs w:val="24"/>
        </w:rPr>
        <w:t>ICP-OES</w:t>
      </w:r>
      <w:r w:rsidRPr="00F13DC9">
        <w:rPr>
          <w:rFonts w:ascii="Times New Roman" w:hAnsi="Times New Roman" w:cs="Times New Roman"/>
          <w:sz w:val="24"/>
          <w:szCs w:val="24"/>
        </w:rPr>
        <w:t>），新增了原子荧光光谱法测定玻璃中砷、锑浸出量，删除了前处理复杂、污染环境的紫外</w:t>
      </w:r>
      <w:r w:rsidRPr="00F13DC9">
        <w:rPr>
          <w:rFonts w:ascii="Times New Roman" w:hAnsi="Times New Roman" w:cs="Times New Roman"/>
          <w:sz w:val="24"/>
          <w:szCs w:val="24"/>
        </w:rPr>
        <w:t>-</w:t>
      </w:r>
      <w:r w:rsidRPr="00F13DC9">
        <w:rPr>
          <w:rFonts w:ascii="Times New Roman" w:hAnsi="Times New Roman" w:cs="Times New Roman"/>
          <w:sz w:val="24"/>
          <w:szCs w:val="24"/>
        </w:rPr>
        <w:t>分光光度法。本方法中各测试方法项下载明的金属元素、金属离子已经过方法学验证，本方法中未载明的金属元素、金属离子如采用上述方法进行测定，需经过方法学验证。</w:t>
      </w:r>
    </w:p>
    <w:sectPr w:rsidR="004035F4" w:rsidRPr="00F13DC9">
      <w:headerReference w:type="even" r:id="rId8"/>
      <w:headerReference w:type="default" r:id="rId9"/>
      <w:footerReference w:type="default" r:id="rId10"/>
      <w:headerReference w:type="first" r:id="rId11"/>
      <w:endnotePr>
        <w:numFmt w:val="decimal"/>
      </w:endnotePr>
      <w:pgSz w:w="12240" w:h="15840"/>
      <w:pgMar w:top="1134" w:right="2552" w:bottom="1134" w:left="1701" w:header="720" w:footer="720" w:gutter="0"/>
      <w:lnNumType w:countBy="1" w:restart="continuous"/>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541" w:rsidRDefault="00B87541">
      <w:r>
        <w:separator/>
      </w:r>
    </w:p>
  </w:endnote>
  <w:endnote w:type="continuationSeparator" w:id="0">
    <w:p w:rsidR="00B87541" w:rsidRDefault="00B8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8954"/>
      <w:docPartObj>
        <w:docPartGallery w:val="Page Numbers (Bottom of Page)"/>
        <w:docPartUnique/>
      </w:docPartObj>
    </w:sdtPr>
    <w:sdtEndPr>
      <w:rPr>
        <w:rFonts w:ascii="Times New Roman" w:hAnsi="Times New Roman" w:cs="Times New Roman"/>
      </w:rPr>
    </w:sdtEndPr>
    <w:sdtContent>
      <w:sdt>
        <w:sdtPr>
          <w:id w:val="1728636285"/>
          <w:docPartObj>
            <w:docPartGallery w:val="Page Numbers (Top of Page)"/>
            <w:docPartUnique/>
          </w:docPartObj>
        </w:sdtPr>
        <w:sdtEndPr>
          <w:rPr>
            <w:rFonts w:ascii="Times New Roman" w:hAnsi="Times New Roman" w:cs="Times New Roman"/>
          </w:rPr>
        </w:sdtEndPr>
        <w:sdtContent>
          <w:p w:rsidR="009F58E4" w:rsidRPr="008E7924" w:rsidRDefault="009F58E4">
            <w:pPr>
              <w:pStyle w:val="ad"/>
              <w:jc w:val="center"/>
              <w:rPr>
                <w:rFonts w:ascii="Times New Roman" w:hAnsi="Times New Roman" w:cs="Times New Roman"/>
              </w:rPr>
            </w:pPr>
            <w:r w:rsidRPr="008E7924">
              <w:rPr>
                <w:rFonts w:ascii="Times New Roman" w:hAnsi="Times New Roman" w:cs="Times New Roman"/>
                <w:lang w:val="zh-CN"/>
              </w:rPr>
              <w:t xml:space="preserve"> </w:t>
            </w:r>
            <w:r w:rsidRPr="008E7924">
              <w:rPr>
                <w:rFonts w:ascii="Times New Roman" w:hAnsi="Times New Roman" w:cs="Times New Roman"/>
                <w:b/>
                <w:bCs/>
              </w:rPr>
              <w:fldChar w:fldCharType="begin"/>
            </w:r>
            <w:r w:rsidRPr="008E7924">
              <w:rPr>
                <w:rFonts w:ascii="Times New Roman" w:hAnsi="Times New Roman" w:cs="Times New Roman"/>
                <w:b/>
                <w:bCs/>
              </w:rPr>
              <w:instrText>PAGE</w:instrText>
            </w:r>
            <w:r w:rsidRPr="008E7924">
              <w:rPr>
                <w:rFonts w:ascii="Times New Roman" w:hAnsi="Times New Roman" w:cs="Times New Roman"/>
                <w:b/>
                <w:bCs/>
              </w:rPr>
              <w:fldChar w:fldCharType="separate"/>
            </w:r>
            <w:r w:rsidR="00003896">
              <w:rPr>
                <w:rFonts w:ascii="Times New Roman" w:hAnsi="Times New Roman" w:cs="Times New Roman"/>
                <w:b/>
                <w:bCs/>
                <w:noProof/>
              </w:rPr>
              <w:t>8</w:t>
            </w:r>
            <w:r w:rsidRPr="008E7924">
              <w:rPr>
                <w:rFonts w:ascii="Times New Roman" w:hAnsi="Times New Roman" w:cs="Times New Roman"/>
                <w:b/>
                <w:bCs/>
              </w:rPr>
              <w:fldChar w:fldCharType="end"/>
            </w:r>
            <w:r w:rsidRPr="008E7924">
              <w:rPr>
                <w:rFonts w:ascii="Times New Roman" w:hAnsi="Times New Roman" w:cs="Times New Roman"/>
                <w:lang w:val="zh-CN"/>
              </w:rPr>
              <w:t xml:space="preserve"> / </w:t>
            </w:r>
            <w:r w:rsidRPr="008E7924">
              <w:rPr>
                <w:rFonts w:ascii="Times New Roman" w:hAnsi="Times New Roman" w:cs="Times New Roman"/>
                <w:b/>
                <w:bCs/>
              </w:rPr>
              <w:fldChar w:fldCharType="begin"/>
            </w:r>
            <w:r w:rsidRPr="008E7924">
              <w:rPr>
                <w:rFonts w:ascii="Times New Roman" w:hAnsi="Times New Roman" w:cs="Times New Roman"/>
                <w:b/>
                <w:bCs/>
              </w:rPr>
              <w:instrText>NUMPAGES</w:instrText>
            </w:r>
            <w:r w:rsidRPr="008E7924">
              <w:rPr>
                <w:rFonts w:ascii="Times New Roman" w:hAnsi="Times New Roman" w:cs="Times New Roman"/>
                <w:b/>
                <w:bCs/>
              </w:rPr>
              <w:fldChar w:fldCharType="separate"/>
            </w:r>
            <w:r w:rsidR="00003896">
              <w:rPr>
                <w:rFonts w:ascii="Times New Roman" w:hAnsi="Times New Roman" w:cs="Times New Roman"/>
                <w:b/>
                <w:bCs/>
                <w:noProof/>
              </w:rPr>
              <w:t>8</w:t>
            </w:r>
            <w:r w:rsidRPr="008E7924">
              <w:rPr>
                <w:rFonts w:ascii="Times New Roman" w:hAnsi="Times New Roman" w:cs="Times New Roman"/>
                <w:b/>
                <w:bCs/>
              </w:rPr>
              <w:fldChar w:fldCharType="end"/>
            </w:r>
          </w:p>
        </w:sdtContent>
      </w:sdt>
    </w:sdtContent>
  </w:sdt>
  <w:p w:rsidR="004035F4" w:rsidRDefault="004035F4">
    <w:pPr>
      <w:pStyle w:val="ad"/>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541" w:rsidRDefault="00B87541">
      <w:r>
        <w:separator/>
      </w:r>
    </w:p>
  </w:footnote>
  <w:footnote w:type="continuationSeparator" w:id="0">
    <w:p w:rsidR="00B87541" w:rsidRDefault="00B87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F4" w:rsidRDefault="00B87541">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2" o:spid="_x0000_s2053" type="#_x0000_t136" style="position:absolute;left:0;text-align:left;margin-left:0;margin-top:0;width:469.2pt;height:93.8pt;rotation:315;z-index:-251655168;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F4" w:rsidRPr="003C2FFD" w:rsidRDefault="00B87541">
    <w:pPr>
      <w:pStyle w:val="af"/>
      <w:tabs>
        <w:tab w:val="clear" w:pos="4153"/>
        <w:tab w:val="clear" w:pos="8306"/>
        <w:tab w:val="center" w:pos="3993"/>
        <w:tab w:val="right" w:pos="7987"/>
      </w:tabs>
      <w:rPr>
        <w:rFonts w:ascii="Times New Roman" w:hAnsi="Times New Roman" w:cs="Times New Roman"/>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3" o:spid="_x0000_s2054" type="#_x0000_t136" style="position:absolute;left:0;text-align:left;margin-left:0;margin-top:0;width:469.2pt;height:93.8pt;rotation:315;z-index:-251654144;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r w:rsidR="00AE2352">
      <w:t xml:space="preserve">                                                                          </w:t>
    </w:r>
    <w:r w:rsidR="00AE2352" w:rsidRPr="003C2FFD">
      <w:rPr>
        <w:rFonts w:ascii="Times New Roman" w:hAnsi="Times New Roman" w:cs="Times New Roman"/>
      </w:rPr>
      <w:t xml:space="preserve"> 2022</w:t>
    </w:r>
    <w:r w:rsidR="00AE2352" w:rsidRPr="003C2FFD">
      <w:rPr>
        <w:rFonts w:ascii="Times New Roman" w:hAnsi="Times New Roman" w:cs="Times New Roman"/>
      </w:rPr>
      <w:t>年</w:t>
    </w:r>
    <w:r w:rsidR="00AE2352" w:rsidRPr="003C2FFD">
      <w:rPr>
        <w:rFonts w:ascii="Times New Roman" w:hAnsi="Times New Roman" w:cs="Times New Roman"/>
      </w:rPr>
      <w:t>7</w:t>
    </w:r>
    <w:r w:rsidR="00AE2352" w:rsidRPr="003C2FFD">
      <w:rPr>
        <w:rFonts w:ascii="Times New Roman" w:hAnsi="Times New Roman" w:cs="Times New Roman"/>
      </w:rPr>
      <w:t>月</w:t>
    </w:r>
    <w:r w:rsidR="00AE2352" w:rsidRPr="003C2FFD">
      <w:rPr>
        <w:rFonts w:ascii="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F4" w:rsidRDefault="00B87541">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1" o:spid="_x0000_s2052" type="#_x0000_t136" style="position:absolute;left:0;text-align:left;margin-left:0;margin-top:0;width:469.2pt;height:93.8pt;rotation:315;z-index:-25165619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21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5" fillcolor="white">
      <v:fill color="white"/>
    </o:shapedefaults>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mMjE0YzkwNjVhNTBhOTkwOTZhMGQ2NjYwMDA1NzgifQ=="/>
  </w:docVars>
  <w:rsids>
    <w:rsidRoot w:val="00A4732B"/>
    <w:rsid w:val="00003896"/>
    <w:rsid w:val="00012A9D"/>
    <w:rsid w:val="00015814"/>
    <w:rsid w:val="00021A46"/>
    <w:rsid w:val="0002482F"/>
    <w:rsid w:val="00050ABA"/>
    <w:rsid w:val="0005156E"/>
    <w:rsid w:val="00051B62"/>
    <w:rsid w:val="000601A8"/>
    <w:rsid w:val="000775AE"/>
    <w:rsid w:val="00084FD5"/>
    <w:rsid w:val="00097240"/>
    <w:rsid w:val="000A3B4E"/>
    <w:rsid w:val="000A4652"/>
    <w:rsid w:val="000B07AD"/>
    <w:rsid w:val="000B4C1A"/>
    <w:rsid w:val="000B6C95"/>
    <w:rsid w:val="000C5051"/>
    <w:rsid w:val="000F14A5"/>
    <w:rsid w:val="00101F14"/>
    <w:rsid w:val="00112744"/>
    <w:rsid w:val="00125A86"/>
    <w:rsid w:val="00130CCE"/>
    <w:rsid w:val="00132E56"/>
    <w:rsid w:val="001469BE"/>
    <w:rsid w:val="00152252"/>
    <w:rsid w:val="00155B91"/>
    <w:rsid w:val="001577A8"/>
    <w:rsid w:val="001705F3"/>
    <w:rsid w:val="00181905"/>
    <w:rsid w:val="00182D0C"/>
    <w:rsid w:val="00193EAF"/>
    <w:rsid w:val="001A5EBE"/>
    <w:rsid w:val="001B2A81"/>
    <w:rsid w:val="001B4C3E"/>
    <w:rsid w:val="001C3B74"/>
    <w:rsid w:val="001D5B59"/>
    <w:rsid w:val="001E36B7"/>
    <w:rsid w:val="001E43CF"/>
    <w:rsid w:val="001F2CAA"/>
    <w:rsid w:val="001F5BCF"/>
    <w:rsid w:val="00206B5E"/>
    <w:rsid w:val="00206DCF"/>
    <w:rsid w:val="00211684"/>
    <w:rsid w:val="00222754"/>
    <w:rsid w:val="00242D6A"/>
    <w:rsid w:val="00245C5C"/>
    <w:rsid w:val="00245D42"/>
    <w:rsid w:val="00255443"/>
    <w:rsid w:val="00255EFE"/>
    <w:rsid w:val="00256F07"/>
    <w:rsid w:val="00266913"/>
    <w:rsid w:val="00271C40"/>
    <w:rsid w:val="002744AB"/>
    <w:rsid w:val="00276022"/>
    <w:rsid w:val="00285E24"/>
    <w:rsid w:val="002A0571"/>
    <w:rsid w:val="002A5F4B"/>
    <w:rsid w:val="002B7535"/>
    <w:rsid w:val="002C465B"/>
    <w:rsid w:val="002C6D27"/>
    <w:rsid w:val="002D06AF"/>
    <w:rsid w:val="002D5037"/>
    <w:rsid w:val="002D76DF"/>
    <w:rsid w:val="00304749"/>
    <w:rsid w:val="0030548B"/>
    <w:rsid w:val="00307D05"/>
    <w:rsid w:val="00315205"/>
    <w:rsid w:val="00317372"/>
    <w:rsid w:val="0033758F"/>
    <w:rsid w:val="003522DE"/>
    <w:rsid w:val="00354461"/>
    <w:rsid w:val="00356A05"/>
    <w:rsid w:val="00364BAA"/>
    <w:rsid w:val="00382B75"/>
    <w:rsid w:val="003864D2"/>
    <w:rsid w:val="00393FCE"/>
    <w:rsid w:val="00397392"/>
    <w:rsid w:val="003A366D"/>
    <w:rsid w:val="003A38F6"/>
    <w:rsid w:val="003B63C3"/>
    <w:rsid w:val="003C2FFD"/>
    <w:rsid w:val="003C6ADB"/>
    <w:rsid w:val="003D1C1D"/>
    <w:rsid w:val="003D284D"/>
    <w:rsid w:val="003D3B73"/>
    <w:rsid w:val="003E055C"/>
    <w:rsid w:val="003E406F"/>
    <w:rsid w:val="003E52D6"/>
    <w:rsid w:val="003F1A18"/>
    <w:rsid w:val="003F46E1"/>
    <w:rsid w:val="004035F4"/>
    <w:rsid w:val="00403FD5"/>
    <w:rsid w:val="00405357"/>
    <w:rsid w:val="00421238"/>
    <w:rsid w:val="0043287B"/>
    <w:rsid w:val="004354AB"/>
    <w:rsid w:val="00443A40"/>
    <w:rsid w:val="004456E7"/>
    <w:rsid w:val="00447DD1"/>
    <w:rsid w:val="00453861"/>
    <w:rsid w:val="004542D8"/>
    <w:rsid w:val="00466DA0"/>
    <w:rsid w:val="00473358"/>
    <w:rsid w:val="00480D2C"/>
    <w:rsid w:val="00494805"/>
    <w:rsid w:val="00496E00"/>
    <w:rsid w:val="004A39CC"/>
    <w:rsid w:val="004B4A9B"/>
    <w:rsid w:val="004D1836"/>
    <w:rsid w:val="004E3EA1"/>
    <w:rsid w:val="004E4D21"/>
    <w:rsid w:val="004E6F87"/>
    <w:rsid w:val="004E748E"/>
    <w:rsid w:val="004F53C9"/>
    <w:rsid w:val="00507976"/>
    <w:rsid w:val="00527BD2"/>
    <w:rsid w:val="00531461"/>
    <w:rsid w:val="0053211E"/>
    <w:rsid w:val="00536D43"/>
    <w:rsid w:val="00547E3C"/>
    <w:rsid w:val="0055110A"/>
    <w:rsid w:val="00570AF7"/>
    <w:rsid w:val="00577C18"/>
    <w:rsid w:val="0058652D"/>
    <w:rsid w:val="00594421"/>
    <w:rsid w:val="005A2F34"/>
    <w:rsid w:val="005A76B2"/>
    <w:rsid w:val="005B26EA"/>
    <w:rsid w:val="005C2792"/>
    <w:rsid w:val="005C4A22"/>
    <w:rsid w:val="005D39B6"/>
    <w:rsid w:val="005E3D7C"/>
    <w:rsid w:val="006072C9"/>
    <w:rsid w:val="00616C23"/>
    <w:rsid w:val="006177EC"/>
    <w:rsid w:val="00617897"/>
    <w:rsid w:val="00621A38"/>
    <w:rsid w:val="00634E3E"/>
    <w:rsid w:val="00640BAD"/>
    <w:rsid w:val="00642E64"/>
    <w:rsid w:val="006503FB"/>
    <w:rsid w:val="00655DB5"/>
    <w:rsid w:val="006576EF"/>
    <w:rsid w:val="00657F62"/>
    <w:rsid w:val="0066507A"/>
    <w:rsid w:val="00666690"/>
    <w:rsid w:val="00667EBE"/>
    <w:rsid w:val="0067517F"/>
    <w:rsid w:val="00676338"/>
    <w:rsid w:val="006816C9"/>
    <w:rsid w:val="00683A01"/>
    <w:rsid w:val="00683B17"/>
    <w:rsid w:val="0068490A"/>
    <w:rsid w:val="00685D74"/>
    <w:rsid w:val="00690780"/>
    <w:rsid w:val="006A1FAE"/>
    <w:rsid w:val="006A6131"/>
    <w:rsid w:val="006B1F94"/>
    <w:rsid w:val="006B7754"/>
    <w:rsid w:val="006C5A18"/>
    <w:rsid w:val="006C64C9"/>
    <w:rsid w:val="006D3700"/>
    <w:rsid w:val="006D476F"/>
    <w:rsid w:val="006E04E0"/>
    <w:rsid w:val="006E3EBE"/>
    <w:rsid w:val="006E68AE"/>
    <w:rsid w:val="006F7F88"/>
    <w:rsid w:val="00711418"/>
    <w:rsid w:val="00713D8C"/>
    <w:rsid w:val="00716C7B"/>
    <w:rsid w:val="00724E58"/>
    <w:rsid w:val="00753E58"/>
    <w:rsid w:val="00756FD6"/>
    <w:rsid w:val="007646F4"/>
    <w:rsid w:val="00764A64"/>
    <w:rsid w:val="00772194"/>
    <w:rsid w:val="00780F1B"/>
    <w:rsid w:val="007973B4"/>
    <w:rsid w:val="007A198F"/>
    <w:rsid w:val="007C1156"/>
    <w:rsid w:val="007C4612"/>
    <w:rsid w:val="007D10CC"/>
    <w:rsid w:val="007E10AB"/>
    <w:rsid w:val="007F7A8B"/>
    <w:rsid w:val="00800C4E"/>
    <w:rsid w:val="00801303"/>
    <w:rsid w:val="00803755"/>
    <w:rsid w:val="00811172"/>
    <w:rsid w:val="00814C8C"/>
    <w:rsid w:val="008166AD"/>
    <w:rsid w:val="00817D45"/>
    <w:rsid w:val="00817FD3"/>
    <w:rsid w:val="008271D8"/>
    <w:rsid w:val="00832827"/>
    <w:rsid w:val="00847034"/>
    <w:rsid w:val="00847D17"/>
    <w:rsid w:val="00877A0B"/>
    <w:rsid w:val="00885B5E"/>
    <w:rsid w:val="008918FF"/>
    <w:rsid w:val="008A39AC"/>
    <w:rsid w:val="008B05F1"/>
    <w:rsid w:val="008B430F"/>
    <w:rsid w:val="008C214D"/>
    <w:rsid w:val="008D136A"/>
    <w:rsid w:val="008E7924"/>
    <w:rsid w:val="00913A37"/>
    <w:rsid w:val="00914822"/>
    <w:rsid w:val="00916892"/>
    <w:rsid w:val="00923FDC"/>
    <w:rsid w:val="00926647"/>
    <w:rsid w:val="00935FAA"/>
    <w:rsid w:val="00953410"/>
    <w:rsid w:val="00957182"/>
    <w:rsid w:val="00957C42"/>
    <w:rsid w:val="009726F4"/>
    <w:rsid w:val="009728AA"/>
    <w:rsid w:val="009835A8"/>
    <w:rsid w:val="00984988"/>
    <w:rsid w:val="00985B2F"/>
    <w:rsid w:val="00990BAA"/>
    <w:rsid w:val="00995DCE"/>
    <w:rsid w:val="009975F3"/>
    <w:rsid w:val="009B43DF"/>
    <w:rsid w:val="009C1599"/>
    <w:rsid w:val="009C7881"/>
    <w:rsid w:val="009D0A22"/>
    <w:rsid w:val="009D3379"/>
    <w:rsid w:val="009E170D"/>
    <w:rsid w:val="009E5154"/>
    <w:rsid w:val="009E7092"/>
    <w:rsid w:val="009E7344"/>
    <w:rsid w:val="009F58E4"/>
    <w:rsid w:val="00A05B38"/>
    <w:rsid w:val="00A06A51"/>
    <w:rsid w:val="00A16B00"/>
    <w:rsid w:val="00A24C40"/>
    <w:rsid w:val="00A3310A"/>
    <w:rsid w:val="00A3442E"/>
    <w:rsid w:val="00A4732B"/>
    <w:rsid w:val="00A503AE"/>
    <w:rsid w:val="00A53AC4"/>
    <w:rsid w:val="00A62A0B"/>
    <w:rsid w:val="00A758FA"/>
    <w:rsid w:val="00A81A8D"/>
    <w:rsid w:val="00A8508C"/>
    <w:rsid w:val="00A94A14"/>
    <w:rsid w:val="00AA6575"/>
    <w:rsid w:val="00AB00A4"/>
    <w:rsid w:val="00AC60B7"/>
    <w:rsid w:val="00AE2352"/>
    <w:rsid w:val="00AE4B2E"/>
    <w:rsid w:val="00AE4D72"/>
    <w:rsid w:val="00AF14FA"/>
    <w:rsid w:val="00B04439"/>
    <w:rsid w:val="00B102D2"/>
    <w:rsid w:val="00B24CB7"/>
    <w:rsid w:val="00B31F2D"/>
    <w:rsid w:val="00B415A7"/>
    <w:rsid w:val="00B47738"/>
    <w:rsid w:val="00B50E2F"/>
    <w:rsid w:val="00B5195E"/>
    <w:rsid w:val="00B55F90"/>
    <w:rsid w:val="00B61ABF"/>
    <w:rsid w:val="00B61F5B"/>
    <w:rsid w:val="00B62F4E"/>
    <w:rsid w:val="00B640CC"/>
    <w:rsid w:val="00B87541"/>
    <w:rsid w:val="00B942E1"/>
    <w:rsid w:val="00B94B78"/>
    <w:rsid w:val="00B97192"/>
    <w:rsid w:val="00BA7B81"/>
    <w:rsid w:val="00BB3F7E"/>
    <w:rsid w:val="00BB48EF"/>
    <w:rsid w:val="00BC6E19"/>
    <w:rsid w:val="00BD42DF"/>
    <w:rsid w:val="00BD7EBD"/>
    <w:rsid w:val="00BE0BA8"/>
    <w:rsid w:val="00BE3F76"/>
    <w:rsid w:val="00BE6B69"/>
    <w:rsid w:val="00BF772E"/>
    <w:rsid w:val="00C0359B"/>
    <w:rsid w:val="00C12CCE"/>
    <w:rsid w:val="00C21170"/>
    <w:rsid w:val="00C21CE3"/>
    <w:rsid w:val="00C25AFF"/>
    <w:rsid w:val="00C266AC"/>
    <w:rsid w:val="00C350F2"/>
    <w:rsid w:val="00C51000"/>
    <w:rsid w:val="00C806D0"/>
    <w:rsid w:val="00C8153B"/>
    <w:rsid w:val="00C8561E"/>
    <w:rsid w:val="00C905A3"/>
    <w:rsid w:val="00C91A9E"/>
    <w:rsid w:val="00C91EA5"/>
    <w:rsid w:val="00C932E3"/>
    <w:rsid w:val="00CA6D90"/>
    <w:rsid w:val="00CB3869"/>
    <w:rsid w:val="00CC0E81"/>
    <w:rsid w:val="00CD33A2"/>
    <w:rsid w:val="00CE06F8"/>
    <w:rsid w:val="00CE0E95"/>
    <w:rsid w:val="00CE4E23"/>
    <w:rsid w:val="00CF026C"/>
    <w:rsid w:val="00D12793"/>
    <w:rsid w:val="00D221D1"/>
    <w:rsid w:val="00D257C3"/>
    <w:rsid w:val="00D30211"/>
    <w:rsid w:val="00D32755"/>
    <w:rsid w:val="00D33D18"/>
    <w:rsid w:val="00D3669B"/>
    <w:rsid w:val="00D42881"/>
    <w:rsid w:val="00D4696C"/>
    <w:rsid w:val="00D6170E"/>
    <w:rsid w:val="00D62862"/>
    <w:rsid w:val="00D77203"/>
    <w:rsid w:val="00D81D4B"/>
    <w:rsid w:val="00D84AF0"/>
    <w:rsid w:val="00D93AEC"/>
    <w:rsid w:val="00D94CAD"/>
    <w:rsid w:val="00D95CD1"/>
    <w:rsid w:val="00D97D22"/>
    <w:rsid w:val="00D97F9F"/>
    <w:rsid w:val="00DA0FB8"/>
    <w:rsid w:val="00DC1ECE"/>
    <w:rsid w:val="00DE0063"/>
    <w:rsid w:val="00DE4EB1"/>
    <w:rsid w:val="00DE5DFC"/>
    <w:rsid w:val="00DF6694"/>
    <w:rsid w:val="00E035CC"/>
    <w:rsid w:val="00E16B66"/>
    <w:rsid w:val="00E31BF5"/>
    <w:rsid w:val="00E3643B"/>
    <w:rsid w:val="00E45298"/>
    <w:rsid w:val="00E45BB7"/>
    <w:rsid w:val="00E46334"/>
    <w:rsid w:val="00E77286"/>
    <w:rsid w:val="00E83CFD"/>
    <w:rsid w:val="00E864E2"/>
    <w:rsid w:val="00EA4909"/>
    <w:rsid w:val="00EA590A"/>
    <w:rsid w:val="00EB4B81"/>
    <w:rsid w:val="00EC290F"/>
    <w:rsid w:val="00EC62CE"/>
    <w:rsid w:val="00ED08B2"/>
    <w:rsid w:val="00ED0D82"/>
    <w:rsid w:val="00ED730B"/>
    <w:rsid w:val="00EE2DBC"/>
    <w:rsid w:val="00EF1C71"/>
    <w:rsid w:val="00EF36A5"/>
    <w:rsid w:val="00EF481A"/>
    <w:rsid w:val="00F06313"/>
    <w:rsid w:val="00F13DC9"/>
    <w:rsid w:val="00F16AEB"/>
    <w:rsid w:val="00F24BA7"/>
    <w:rsid w:val="00F330D6"/>
    <w:rsid w:val="00F41812"/>
    <w:rsid w:val="00F45E68"/>
    <w:rsid w:val="00F557CB"/>
    <w:rsid w:val="00F63948"/>
    <w:rsid w:val="00F742A0"/>
    <w:rsid w:val="00F87752"/>
    <w:rsid w:val="00F90053"/>
    <w:rsid w:val="00F96010"/>
    <w:rsid w:val="00FA6CD1"/>
    <w:rsid w:val="00FC0659"/>
    <w:rsid w:val="00FC45FE"/>
    <w:rsid w:val="00FD1C9C"/>
    <w:rsid w:val="00FE0F7D"/>
    <w:rsid w:val="00FF0342"/>
    <w:rsid w:val="125F420A"/>
    <w:rsid w:val="232268BD"/>
    <w:rsid w:val="27D25106"/>
    <w:rsid w:val="316D47F1"/>
    <w:rsid w:val="4BFF464E"/>
    <w:rsid w:val="521351FC"/>
    <w:rsid w:val="526E708B"/>
    <w:rsid w:val="5EB61CD9"/>
    <w:rsid w:val="68754C8C"/>
    <w:rsid w:val="6A491401"/>
    <w:rsid w:val="73735653"/>
    <w:rsid w:val="750B7815"/>
    <w:rsid w:val="7DCA0791"/>
    <w:rsid w:val="7FD72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fillcolor="white">
      <v:fill color="white"/>
    </o:shapedefaults>
    <o:shapelayout v:ext="edit">
      <o:idmap v:ext="edit" data="1"/>
    </o:shapelayout>
  </w:shapeDefaults>
  <w:decimalSymbol w:val="."/>
  <w:listSeparator w:val=","/>
  <w14:docId w14:val="661685F6"/>
  <w15:docId w15:val="{833F9252-C241-47A1-A76D-F0A192B8B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2"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qFormat="1"/>
    <w:lsdException w:name="page number" w:uiPriority="0"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paragraph" w:styleId="2">
    <w:name w:val="heading 2"/>
    <w:basedOn w:val="a"/>
    <w:next w:val="a"/>
    <w:link w:val="20"/>
    <w:uiPriority w:val="99"/>
    <w:qFormat/>
    <w:pPr>
      <w:keepNext/>
      <w:keepLines/>
      <w:spacing w:line="360" w:lineRule="auto"/>
      <w:ind w:left="425" w:hanging="425"/>
      <w:outlineLvl w:val="1"/>
    </w:pPr>
    <w:rPr>
      <w:rFonts w:ascii="Calibri Light" w:hAnsi="Calibri Light" w:cs="Calibri Light"/>
      <w:b/>
      <w:bCs/>
      <w:kern w:val="0"/>
      <w:sz w:val="24"/>
      <w:szCs w:val="24"/>
    </w:rPr>
  </w:style>
  <w:style w:type="paragraph" w:styleId="3">
    <w:name w:val="heading 3"/>
    <w:basedOn w:val="a"/>
    <w:next w:val="a"/>
    <w:link w:val="30"/>
    <w:uiPriority w:val="99"/>
    <w:qFormat/>
    <w:pPr>
      <w:keepNext/>
      <w:keepLines/>
      <w:adjustRightInd w:val="0"/>
      <w:snapToGrid w:val="0"/>
      <w:spacing w:line="360" w:lineRule="auto"/>
      <w:ind w:left="425" w:hanging="425"/>
      <w:outlineLvl w:val="2"/>
    </w:pPr>
    <w:rPr>
      <w:rFonts w:ascii="Calibri" w:hAnsi="Calibri" w:cs="Calibri"/>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kern w:val="0"/>
      <w:sz w:val="20"/>
      <w:szCs w:val="20"/>
    </w:rPr>
  </w:style>
  <w:style w:type="paragraph" w:styleId="a5">
    <w:name w:val="Body Text"/>
    <w:basedOn w:val="a"/>
    <w:link w:val="a6"/>
    <w:uiPriority w:val="99"/>
    <w:semiHidden/>
    <w:qFormat/>
    <w:pPr>
      <w:autoSpaceDE w:val="0"/>
      <w:autoSpaceDN w:val="0"/>
      <w:adjustRightInd w:val="0"/>
      <w:spacing w:line="360" w:lineRule="auto"/>
      <w:ind w:left="425" w:hanging="425"/>
      <w:jc w:val="left"/>
    </w:pPr>
    <w:rPr>
      <w:color w:val="000000"/>
      <w:kern w:val="0"/>
      <w:sz w:val="20"/>
      <w:szCs w:val="20"/>
    </w:rPr>
  </w:style>
  <w:style w:type="paragraph" w:styleId="a7">
    <w:name w:val="Plain Text"/>
    <w:basedOn w:val="a"/>
    <w:link w:val="a8"/>
    <w:uiPriority w:val="99"/>
    <w:qFormat/>
    <w:rPr>
      <w:rFonts w:ascii="宋体" w:hAnsi="Courier New" w:cs="宋体"/>
      <w:kern w:val="0"/>
      <w:sz w:val="20"/>
      <w:szCs w:val="20"/>
    </w:rPr>
  </w:style>
  <w:style w:type="paragraph" w:styleId="a9">
    <w:name w:val="endnote text"/>
    <w:basedOn w:val="a"/>
    <w:link w:val="aa"/>
    <w:uiPriority w:val="99"/>
    <w:semiHidden/>
    <w:qFormat/>
    <w:pPr>
      <w:snapToGrid w:val="0"/>
      <w:spacing w:line="360" w:lineRule="auto"/>
      <w:ind w:left="425" w:hanging="425"/>
      <w:jc w:val="left"/>
    </w:pPr>
    <w:rPr>
      <w:kern w:val="0"/>
      <w:sz w:val="20"/>
      <w:szCs w:val="20"/>
    </w:rPr>
  </w:style>
  <w:style w:type="paragraph" w:styleId="ab">
    <w:name w:val="Balloon Text"/>
    <w:basedOn w:val="a"/>
    <w:link w:val="ac"/>
    <w:uiPriority w:val="99"/>
    <w:semiHidden/>
    <w:qFormat/>
    <w:rPr>
      <w:kern w:val="0"/>
      <w:sz w:val="18"/>
      <w:szCs w:val="18"/>
    </w:rPr>
  </w:style>
  <w:style w:type="paragraph" w:styleId="ad">
    <w:name w:val="footer"/>
    <w:basedOn w:val="a"/>
    <w:link w:val="ae"/>
    <w:uiPriority w:val="99"/>
    <w:qFormat/>
    <w:pPr>
      <w:tabs>
        <w:tab w:val="center" w:pos="4153"/>
        <w:tab w:val="right" w:pos="8306"/>
      </w:tabs>
      <w:snapToGrid w:val="0"/>
      <w:jc w:val="left"/>
    </w:pPr>
    <w:rPr>
      <w:rFonts w:ascii="Calibri" w:hAnsi="Calibri" w:cs="Calibri"/>
      <w:kern w:val="0"/>
      <w:sz w:val="18"/>
      <w:szCs w:val="18"/>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rFonts w:ascii="Calibri" w:hAnsi="Calibri" w:cs="Calibri"/>
      <w:kern w:val="0"/>
      <w:sz w:val="18"/>
      <w:szCs w:val="18"/>
    </w:rPr>
  </w:style>
  <w:style w:type="paragraph" w:styleId="af1">
    <w:name w:val="annotation subject"/>
    <w:basedOn w:val="a3"/>
    <w:next w:val="a3"/>
    <w:link w:val="af2"/>
    <w:uiPriority w:val="99"/>
    <w:semiHidden/>
    <w:qFormat/>
    <w:rPr>
      <w:b/>
      <w:bCs/>
    </w:rPr>
  </w:style>
  <w:style w:type="table" w:styleId="af3">
    <w:name w:val="Table Grid"/>
    <w:basedOn w:val="a1"/>
    <w:uiPriority w:val="99"/>
    <w:qFormat/>
    <w:pPr>
      <w:spacing w:line="360" w:lineRule="auto"/>
      <w:ind w:left="425" w:hanging="425"/>
      <w:jc w:val="both"/>
    </w:pPr>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endnote reference"/>
    <w:uiPriority w:val="99"/>
    <w:semiHidden/>
    <w:qFormat/>
    <w:rPr>
      <w:vertAlign w:val="superscript"/>
    </w:rPr>
  </w:style>
  <w:style w:type="character" w:styleId="af5">
    <w:name w:val="line number"/>
    <w:basedOn w:val="a0"/>
    <w:uiPriority w:val="99"/>
    <w:semiHidden/>
    <w:unhideWhenUsed/>
    <w:qFormat/>
  </w:style>
  <w:style w:type="character" w:styleId="af6">
    <w:name w:val="annotation reference"/>
    <w:uiPriority w:val="99"/>
    <w:semiHidden/>
    <w:qFormat/>
    <w:rPr>
      <w:sz w:val="21"/>
      <w:szCs w:val="21"/>
    </w:rPr>
  </w:style>
  <w:style w:type="character" w:customStyle="1" w:styleId="20">
    <w:name w:val="标题 2 字符"/>
    <w:link w:val="2"/>
    <w:uiPriority w:val="99"/>
    <w:semiHidden/>
    <w:qFormat/>
    <w:locked/>
    <w:rPr>
      <w:rFonts w:ascii="Calibri Light" w:eastAsia="宋体" w:hAnsi="Calibri Light" w:cs="Calibri Light"/>
      <w:b/>
      <w:bCs/>
      <w:sz w:val="32"/>
      <w:szCs w:val="32"/>
    </w:rPr>
  </w:style>
  <w:style w:type="character" w:customStyle="1" w:styleId="30">
    <w:name w:val="标题 3 字符"/>
    <w:link w:val="3"/>
    <w:uiPriority w:val="99"/>
    <w:qFormat/>
    <w:locked/>
    <w:rPr>
      <w:b/>
      <w:bCs/>
      <w:sz w:val="32"/>
      <w:szCs w:val="32"/>
    </w:rPr>
  </w:style>
  <w:style w:type="character" w:customStyle="1" w:styleId="af0">
    <w:name w:val="页眉 字符"/>
    <w:link w:val="af"/>
    <w:uiPriority w:val="99"/>
    <w:qFormat/>
    <w:locked/>
    <w:rPr>
      <w:sz w:val="18"/>
      <w:szCs w:val="18"/>
    </w:rPr>
  </w:style>
  <w:style w:type="character" w:customStyle="1" w:styleId="ae">
    <w:name w:val="页脚 字符"/>
    <w:link w:val="ad"/>
    <w:uiPriority w:val="99"/>
    <w:qFormat/>
    <w:locked/>
    <w:rPr>
      <w:sz w:val="18"/>
      <w:szCs w:val="18"/>
    </w:rPr>
  </w:style>
  <w:style w:type="character" w:customStyle="1" w:styleId="a8">
    <w:name w:val="纯文本 字符"/>
    <w:link w:val="a7"/>
    <w:uiPriority w:val="99"/>
    <w:qFormat/>
    <w:locked/>
    <w:rPr>
      <w:rFonts w:ascii="宋体" w:eastAsia="宋体" w:hAnsi="Courier New" w:cs="宋体"/>
      <w:sz w:val="20"/>
      <w:szCs w:val="20"/>
    </w:rPr>
  </w:style>
  <w:style w:type="character" w:customStyle="1" w:styleId="a4">
    <w:name w:val="批注文字 字符"/>
    <w:link w:val="a3"/>
    <w:uiPriority w:val="99"/>
    <w:qFormat/>
    <w:locked/>
    <w:rPr>
      <w:rFonts w:ascii="Times New Roman" w:eastAsia="宋体" w:hAnsi="Times New Roman" w:cs="Times New Roman"/>
      <w:sz w:val="20"/>
      <w:szCs w:val="20"/>
    </w:rPr>
  </w:style>
  <w:style w:type="character" w:customStyle="1" w:styleId="ac">
    <w:name w:val="批注框文本 字符"/>
    <w:link w:val="ab"/>
    <w:uiPriority w:val="99"/>
    <w:semiHidden/>
    <w:qFormat/>
    <w:locked/>
    <w:rPr>
      <w:rFonts w:ascii="Times New Roman" w:eastAsia="宋体" w:hAnsi="Times New Roman" w:cs="Times New Roman"/>
      <w:sz w:val="18"/>
      <w:szCs w:val="18"/>
    </w:rPr>
  </w:style>
  <w:style w:type="character" w:customStyle="1" w:styleId="af2">
    <w:name w:val="批注主题 字符"/>
    <w:link w:val="af1"/>
    <w:uiPriority w:val="99"/>
    <w:semiHidden/>
    <w:qFormat/>
    <w:locked/>
    <w:rPr>
      <w:rFonts w:ascii="Times New Roman" w:eastAsia="宋体" w:hAnsi="Times New Roman" w:cs="Times New Roman"/>
      <w:b/>
      <w:bCs/>
      <w:sz w:val="20"/>
      <w:szCs w:val="20"/>
    </w:rPr>
  </w:style>
  <w:style w:type="paragraph" w:customStyle="1" w:styleId="1">
    <w:name w:val="修订1"/>
    <w:hidden/>
    <w:uiPriority w:val="99"/>
    <w:semiHidden/>
    <w:qFormat/>
    <w:rPr>
      <w:kern w:val="2"/>
      <w:sz w:val="21"/>
      <w:szCs w:val="21"/>
    </w:rPr>
  </w:style>
  <w:style w:type="character" w:customStyle="1" w:styleId="aa">
    <w:name w:val="尾注文本 字符"/>
    <w:link w:val="a9"/>
    <w:uiPriority w:val="99"/>
    <w:semiHidden/>
    <w:qFormat/>
    <w:locked/>
    <w:rPr>
      <w:rFonts w:ascii="Times New Roman" w:eastAsia="宋体" w:hAnsi="Times New Roman" w:cs="Times New Roman"/>
      <w:sz w:val="20"/>
      <w:szCs w:val="20"/>
    </w:rPr>
  </w:style>
  <w:style w:type="character" w:customStyle="1" w:styleId="a6">
    <w:name w:val="正文文本 字符"/>
    <w:link w:val="a5"/>
    <w:uiPriority w:val="99"/>
    <w:semiHidden/>
    <w:qFormat/>
    <w:locked/>
    <w:rPr>
      <w:rFonts w:ascii="Times New Roman" w:eastAsia="宋体" w:hAnsi="Times New Roman" w:cs="Times New Roman"/>
      <w:color w:val="000000"/>
      <w:kern w:val="0"/>
      <w:sz w:val="20"/>
      <w:szCs w:val="20"/>
    </w:rPr>
  </w:style>
  <w:style w:type="paragraph" w:styleId="af7">
    <w:name w:val="List Paragraph"/>
    <w:basedOn w:val="a"/>
    <w:uiPriority w:val="99"/>
    <w:qFormat/>
    <w:pPr>
      <w:spacing w:line="360" w:lineRule="auto"/>
      <w:ind w:left="425" w:firstLineChars="200" w:firstLine="420"/>
    </w:pPr>
    <w:rPr>
      <w:rFonts w:ascii="Calibri" w:hAnsi="Calibri" w:cs="Calibri"/>
    </w:rPr>
  </w:style>
  <w:style w:type="paragraph" w:customStyle="1" w:styleId="10">
    <w:name w:val="列出段落1"/>
    <w:basedOn w:val="a"/>
    <w:uiPriority w:val="99"/>
    <w:qFormat/>
    <w:pPr>
      <w:spacing w:line="360" w:lineRule="auto"/>
      <w:ind w:left="425" w:firstLineChars="200" w:firstLine="420"/>
    </w:pPr>
    <w:rPr>
      <w:rFonts w:ascii="Calibri" w:hAnsi="Calibri" w:cs="Calibri"/>
    </w:rPr>
  </w:style>
  <w:style w:type="character" w:customStyle="1" w:styleId="apple-converted-space">
    <w:name w:val="apple-converted-space"/>
    <w:basedOn w:val="a0"/>
    <w:uiPriority w:val="99"/>
    <w:qFormat/>
  </w:style>
  <w:style w:type="paragraph" w:customStyle="1" w:styleId="Normal0">
    <w:name w:val="Normal_0"/>
    <w:qFormat/>
    <w:pPr>
      <w:spacing w:before="120" w:after="240"/>
      <w:jc w:val="both"/>
    </w:pPr>
    <w:rPr>
      <w:rFonts w:eastAsia="Times New Roman"/>
      <w:sz w:val="22"/>
      <w:szCs w:val="22"/>
      <w:lang w:eastAsia="en-US"/>
    </w:rPr>
  </w:style>
  <w:style w:type="table" w:customStyle="1" w:styleId="11">
    <w:name w:val="网格型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857D92-D115-43E8-B270-C03AE081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819</Words>
  <Characters>4670</Characters>
  <Application>Microsoft Office Word</Application>
  <DocSecurity>0</DocSecurity>
  <Lines>38</Lines>
  <Paragraphs>10</Paragraphs>
  <ScaleCrop>false</ScaleCrop>
  <Company>sidc</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 Yiling</dc:creator>
  <cp:lastModifiedBy>陈蕾</cp:lastModifiedBy>
  <cp:revision>19</cp:revision>
  <cp:lastPrinted>2018-05-11T09:20:00Z</cp:lastPrinted>
  <dcterms:created xsi:type="dcterms:W3CDTF">2022-06-13T07:46:00Z</dcterms:created>
  <dcterms:modified xsi:type="dcterms:W3CDTF">2022-07-11T04:44:00Z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C28F027D0F0B4205BE4F8A34FAC35EB7</vt:lpwstr>
  </property>
</Properties>
</file>