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51E" w:rsidRDefault="0051000E">
      <w:pPr>
        <w:spacing w:line="360" w:lineRule="auto"/>
        <w:jc w:val="center"/>
        <w:rPr>
          <w:rFonts w:eastAsia="黑体"/>
          <w:b/>
          <w:bCs/>
          <w:sz w:val="32"/>
          <w:szCs w:val="32"/>
        </w:rPr>
      </w:pPr>
      <w:r>
        <w:rPr>
          <w:rFonts w:eastAsia="黑体"/>
          <w:b/>
          <w:bCs/>
          <w:sz w:val="32"/>
          <w:szCs w:val="32"/>
        </w:rPr>
        <w:t xml:space="preserve">5402 </w:t>
      </w:r>
      <w:r>
        <w:rPr>
          <w:rFonts w:eastAsia="黑体"/>
          <w:b/>
          <w:bCs/>
          <w:sz w:val="32"/>
          <w:szCs w:val="32"/>
        </w:rPr>
        <w:t>吸入气雾剂用金属罐</w:t>
      </w:r>
    </w:p>
    <w:p w:rsidR="00DA551E" w:rsidRDefault="0051000E">
      <w:pPr>
        <w:spacing w:line="360" w:lineRule="auto"/>
        <w:jc w:val="left"/>
        <w:rPr>
          <w:b/>
          <w:sz w:val="24"/>
          <w:szCs w:val="24"/>
        </w:rPr>
      </w:pPr>
      <w:r>
        <w:rPr>
          <w:b/>
          <w:sz w:val="24"/>
          <w:szCs w:val="24"/>
        </w:rPr>
        <w:t xml:space="preserve">1 </w:t>
      </w:r>
      <w:r>
        <w:rPr>
          <w:b/>
          <w:sz w:val="24"/>
          <w:szCs w:val="24"/>
        </w:rPr>
        <w:t>范围</w:t>
      </w:r>
    </w:p>
    <w:p w:rsidR="00DA551E" w:rsidRDefault="0051000E">
      <w:pPr>
        <w:spacing w:line="360" w:lineRule="auto"/>
        <w:ind w:firstLineChars="200" w:firstLine="480"/>
        <w:jc w:val="left"/>
      </w:pPr>
      <w:r>
        <w:rPr>
          <w:sz w:val="24"/>
          <w:szCs w:val="24"/>
        </w:rPr>
        <w:t>本通则规定了吸入气雾剂用金属罐研发、生产、使用、质量控制时应当符合的基本要求。</w:t>
      </w:r>
    </w:p>
    <w:p w:rsidR="00DA551E" w:rsidRDefault="0051000E">
      <w:pPr>
        <w:spacing w:line="360" w:lineRule="auto"/>
        <w:jc w:val="left"/>
        <w:rPr>
          <w:b/>
          <w:sz w:val="24"/>
          <w:szCs w:val="24"/>
        </w:rPr>
      </w:pPr>
      <w:r>
        <w:rPr>
          <w:b/>
          <w:sz w:val="24"/>
          <w:szCs w:val="24"/>
        </w:rPr>
        <w:t xml:space="preserve">2 </w:t>
      </w:r>
      <w:r>
        <w:rPr>
          <w:b/>
          <w:sz w:val="24"/>
          <w:szCs w:val="24"/>
        </w:rPr>
        <w:t>规范性引用文件</w:t>
      </w:r>
    </w:p>
    <w:p w:rsidR="00DA551E" w:rsidRDefault="0051000E">
      <w:pPr>
        <w:spacing w:line="360" w:lineRule="auto"/>
        <w:ind w:firstLineChars="200" w:firstLine="480"/>
        <w:jc w:val="left"/>
        <w:rPr>
          <w:bCs/>
          <w:sz w:val="24"/>
          <w:szCs w:val="24"/>
        </w:rPr>
      </w:pPr>
      <w:r>
        <w:rPr>
          <w:bCs/>
          <w:sz w:val="24"/>
          <w:szCs w:val="24"/>
        </w:rPr>
        <w:t>下列文件中的内容通过文中规范性的引用而构成文件必不可少的条款，其最新版本（包括所有增补版）适用于本文件</w:t>
      </w:r>
    </w:p>
    <w:p w:rsidR="00DA551E" w:rsidRDefault="0051000E">
      <w:pPr>
        <w:spacing w:line="360" w:lineRule="auto"/>
        <w:ind w:firstLineChars="200" w:firstLine="480"/>
        <w:jc w:val="left"/>
        <w:rPr>
          <w:sz w:val="24"/>
          <w:szCs w:val="24"/>
        </w:rPr>
      </w:pPr>
      <w:r>
        <w:rPr>
          <w:sz w:val="24"/>
          <w:szCs w:val="24"/>
        </w:rPr>
        <w:t>通则</w:t>
      </w:r>
      <w:r>
        <w:rPr>
          <w:sz w:val="24"/>
          <w:szCs w:val="24"/>
        </w:rPr>
        <w:t xml:space="preserve"> 5400</w:t>
      </w:r>
      <w:r>
        <w:rPr>
          <w:rFonts w:hint="eastAsia"/>
          <w:sz w:val="24"/>
          <w:szCs w:val="24"/>
        </w:rPr>
        <w:t xml:space="preserve"> </w:t>
      </w:r>
      <w:r>
        <w:rPr>
          <w:sz w:val="24"/>
          <w:szCs w:val="24"/>
        </w:rPr>
        <w:t>药品包装用金属组件和容器通则（</w:t>
      </w:r>
      <w:r>
        <w:rPr>
          <w:rFonts w:hint="eastAsia"/>
          <w:sz w:val="24"/>
          <w:szCs w:val="24"/>
        </w:rPr>
        <w:t>已上网</w:t>
      </w:r>
      <w:r>
        <w:rPr>
          <w:sz w:val="24"/>
          <w:szCs w:val="24"/>
        </w:rPr>
        <w:t>公开</w:t>
      </w:r>
      <w:r>
        <w:rPr>
          <w:rFonts w:hint="eastAsia"/>
          <w:sz w:val="24"/>
          <w:szCs w:val="24"/>
        </w:rPr>
        <w:t>征求</w:t>
      </w:r>
      <w:r>
        <w:rPr>
          <w:sz w:val="24"/>
          <w:szCs w:val="24"/>
        </w:rPr>
        <w:t>意见）</w:t>
      </w:r>
    </w:p>
    <w:p w:rsidR="00DA551E" w:rsidRDefault="0051000E">
      <w:pPr>
        <w:tabs>
          <w:tab w:val="left" w:pos="6798"/>
        </w:tabs>
        <w:spacing w:line="360" w:lineRule="auto"/>
        <w:ind w:firstLineChars="200" w:firstLine="480"/>
        <w:jc w:val="left"/>
        <w:rPr>
          <w:sz w:val="24"/>
          <w:szCs w:val="24"/>
        </w:rPr>
      </w:pPr>
      <w:r>
        <w:rPr>
          <w:sz w:val="24"/>
          <w:szCs w:val="24"/>
        </w:rPr>
        <w:t>通则</w:t>
      </w:r>
      <w:r>
        <w:rPr>
          <w:sz w:val="24"/>
          <w:szCs w:val="24"/>
        </w:rPr>
        <w:t xml:space="preserve"> 4051</w:t>
      </w:r>
      <w:r>
        <w:rPr>
          <w:rFonts w:hint="eastAsia"/>
          <w:sz w:val="24"/>
          <w:szCs w:val="24"/>
        </w:rPr>
        <w:t xml:space="preserve"> </w:t>
      </w:r>
      <w:r>
        <w:rPr>
          <w:sz w:val="24"/>
          <w:szCs w:val="24"/>
        </w:rPr>
        <w:t>金属罐耐压性能测定法（起草中）</w:t>
      </w:r>
      <w:r>
        <w:rPr>
          <w:sz w:val="24"/>
          <w:szCs w:val="24"/>
        </w:rPr>
        <w:tab/>
      </w:r>
    </w:p>
    <w:p w:rsidR="00DA551E" w:rsidRDefault="0051000E">
      <w:pPr>
        <w:spacing w:line="360" w:lineRule="auto"/>
        <w:ind w:firstLineChars="200" w:firstLine="480"/>
        <w:jc w:val="left"/>
        <w:rPr>
          <w:sz w:val="24"/>
          <w:szCs w:val="24"/>
        </w:rPr>
      </w:pPr>
      <w:r>
        <w:rPr>
          <w:sz w:val="24"/>
          <w:szCs w:val="24"/>
        </w:rPr>
        <w:t>通则</w:t>
      </w:r>
      <w:r>
        <w:rPr>
          <w:sz w:val="24"/>
          <w:szCs w:val="24"/>
        </w:rPr>
        <w:t xml:space="preserve"> 4057</w:t>
      </w:r>
      <w:r>
        <w:rPr>
          <w:rFonts w:hint="eastAsia"/>
          <w:sz w:val="24"/>
          <w:szCs w:val="24"/>
        </w:rPr>
        <w:t xml:space="preserve"> </w:t>
      </w:r>
      <w:r>
        <w:rPr>
          <w:sz w:val="24"/>
          <w:szCs w:val="24"/>
        </w:rPr>
        <w:t>金属氧化膜厚度测定法（起草中）</w:t>
      </w:r>
    </w:p>
    <w:p w:rsidR="00DA551E" w:rsidRDefault="0051000E">
      <w:pPr>
        <w:spacing w:line="360" w:lineRule="auto"/>
        <w:ind w:firstLineChars="200" w:firstLine="480"/>
        <w:jc w:val="left"/>
        <w:rPr>
          <w:sz w:val="24"/>
          <w:szCs w:val="24"/>
        </w:rPr>
      </w:pPr>
      <w:r>
        <w:rPr>
          <w:sz w:val="24"/>
          <w:szCs w:val="24"/>
        </w:rPr>
        <w:t>通则</w:t>
      </w:r>
      <w:r>
        <w:rPr>
          <w:rFonts w:hint="eastAsia"/>
          <w:sz w:val="24"/>
          <w:szCs w:val="24"/>
        </w:rPr>
        <w:t xml:space="preserve"> </w:t>
      </w:r>
      <w:r>
        <w:rPr>
          <w:sz w:val="24"/>
          <w:szCs w:val="24"/>
        </w:rPr>
        <w:t>4061</w:t>
      </w:r>
      <w:r>
        <w:rPr>
          <w:rFonts w:hint="eastAsia"/>
          <w:sz w:val="24"/>
          <w:szCs w:val="24"/>
        </w:rPr>
        <w:t xml:space="preserve"> </w:t>
      </w:r>
      <w:r>
        <w:rPr>
          <w:sz w:val="24"/>
          <w:szCs w:val="24"/>
        </w:rPr>
        <w:t>金属涂层表面能测定法（起草中）</w:t>
      </w:r>
    </w:p>
    <w:p w:rsidR="00DA551E" w:rsidRDefault="0051000E">
      <w:pPr>
        <w:spacing w:line="360" w:lineRule="auto"/>
        <w:ind w:firstLineChars="200" w:firstLine="480"/>
        <w:jc w:val="left"/>
        <w:rPr>
          <w:sz w:val="24"/>
          <w:szCs w:val="24"/>
        </w:rPr>
      </w:pPr>
      <w:r>
        <w:rPr>
          <w:sz w:val="24"/>
          <w:szCs w:val="24"/>
        </w:rPr>
        <w:t>通则</w:t>
      </w:r>
      <w:r>
        <w:rPr>
          <w:rFonts w:hint="eastAsia"/>
          <w:sz w:val="24"/>
          <w:szCs w:val="24"/>
        </w:rPr>
        <w:t xml:space="preserve"> </w:t>
      </w:r>
      <w:r>
        <w:rPr>
          <w:sz w:val="24"/>
          <w:szCs w:val="24"/>
        </w:rPr>
        <w:t>4062</w:t>
      </w:r>
      <w:r>
        <w:rPr>
          <w:rFonts w:hint="eastAsia"/>
          <w:sz w:val="24"/>
          <w:szCs w:val="24"/>
        </w:rPr>
        <w:t xml:space="preserve"> </w:t>
      </w:r>
      <w:r>
        <w:rPr>
          <w:sz w:val="24"/>
          <w:szCs w:val="24"/>
        </w:rPr>
        <w:t>金属涂层接触角测定法（起草中）</w:t>
      </w:r>
    </w:p>
    <w:p w:rsidR="00DA551E" w:rsidRDefault="0051000E">
      <w:pPr>
        <w:spacing w:line="360" w:lineRule="auto"/>
        <w:ind w:firstLineChars="200" w:firstLine="480"/>
        <w:jc w:val="left"/>
        <w:rPr>
          <w:sz w:val="24"/>
          <w:szCs w:val="24"/>
        </w:rPr>
      </w:pPr>
      <w:r>
        <w:rPr>
          <w:sz w:val="24"/>
          <w:szCs w:val="24"/>
        </w:rPr>
        <w:t>通则</w:t>
      </w:r>
      <w:r>
        <w:rPr>
          <w:sz w:val="24"/>
          <w:szCs w:val="24"/>
        </w:rPr>
        <w:t xml:space="preserve">4251 </w:t>
      </w:r>
      <w:r>
        <w:rPr>
          <w:rFonts w:hint="eastAsia"/>
          <w:sz w:val="24"/>
          <w:szCs w:val="24"/>
          <w:lang w:val="zh-CN"/>
        </w:rPr>
        <w:t>金属涂料涂层</w:t>
      </w:r>
      <w:r>
        <w:rPr>
          <w:sz w:val="24"/>
          <w:szCs w:val="24"/>
          <w:lang w:val="zh-CN"/>
        </w:rPr>
        <w:t>中己内酰胺迁移量测定法</w:t>
      </w:r>
      <w:r>
        <w:rPr>
          <w:sz w:val="24"/>
          <w:szCs w:val="24"/>
        </w:rPr>
        <w:t>（起草中）</w:t>
      </w:r>
    </w:p>
    <w:p w:rsidR="00DA551E" w:rsidRDefault="0051000E">
      <w:pPr>
        <w:spacing w:line="360" w:lineRule="auto"/>
        <w:ind w:firstLineChars="200" w:firstLine="480"/>
        <w:jc w:val="left"/>
        <w:rPr>
          <w:sz w:val="24"/>
          <w:szCs w:val="24"/>
          <w:lang w:val="zh-CN"/>
        </w:rPr>
      </w:pPr>
      <w:r>
        <w:rPr>
          <w:sz w:val="24"/>
          <w:szCs w:val="24"/>
        </w:rPr>
        <w:t>通则</w:t>
      </w:r>
      <w:r>
        <w:rPr>
          <w:sz w:val="24"/>
          <w:szCs w:val="24"/>
        </w:rPr>
        <w:t xml:space="preserve">4252 </w:t>
      </w:r>
      <w:r>
        <w:rPr>
          <w:rFonts w:hint="eastAsia"/>
          <w:sz w:val="24"/>
          <w:szCs w:val="24"/>
          <w:lang w:val="zh-CN"/>
        </w:rPr>
        <w:t>金属涂料涂层</w:t>
      </w:r>
      <w:r>
        <w:rPr>
          <w:sz w:val="24"/>
          <w:szCs w:val="24"/>
          <w:lang w:val="zh-CN"/>
        </w:rPr>
        <w:t>中</w:t>
      </w:r>
      <w:r>
        <w:rPr>
          <w:sz w:val="24"/>
          <w:szCs w:val="24"/>
        </w:rPr>
        <w:t>丙烯酸</w:t>
      </w:r>
      <w:r>
        <w:rPr>
          <w:sz w:val="24"/>
          <w:szCs w:val="24"/>
          <w:lang w:val="zh-CN"/>
        </w:rPr>
        <w:t>迁移量测定法</w:t>
      </w:r>
      <w:r>
        <w:rPr>
          <w:sz w:val="24"/>
          <w:szCs w:val="24"/>
        </w:rPr>
        <w:t>（起草中）</w:t>
      </w:r>
    </w:p>
    <w:p w:rsidR="00DA551E" w:rsidRDefault="0051000E">
      <w:pPr>
        <w:spacing w:line="360" w:lineRule="auto"/>
        <w:ind w:firstLineChars="200" w:firstLine="480"/>
        <w:jc w:val="left"/>
        <w:rPr>
          <w:sz w:val="24"/>
          <w:szCs w:val="24"/>
        </w:rPr>
      </w:pPr>
      <w:r>
        <w:rPr>
          <w:sz w:val="24"/>
          <w:szCs w:val="24"/>
        </w:rPr>
        <w:t>通则</w:t>
      </w:r>
      <w:r>
        <w:rPr>
          <w:sz w:val="24"/>
          <w:szCs w:val="24"/>
        </w:rPr>
        <w:t xml:space="preserve">4254 </w:t>
      </w:r>
      <w:r>
        <w:rPr>
          <w:rFonts w:hint="eastAsia"/>
          <w:sz w:val="24"/>
          <w:szCs w:val="24"/>
          <w:lang w:val="zh-CN"/>
        </w:rPr>
        <w:t>金属涂料涂层</w:t>
      </w:r>
      <w:r>
        <w:rPr>
          <w:sz w:val="24"/>
          <w:szCs w:val="24"/>
          <w:lang w:val="zh-CN"/>
        </w:rPr>
        <w:t>中</w:t>
      </w:r>
      <w:r>
        <w:rPr>
          <w:sz w:val="24"/>
          <w:szCs w:val="24"/>
        </w:rPr>
        <w:t>甲醛</w:t>
      </w:r>
      <w:r>
        <w:rPr>
          <w:sz w:val="24"/>
          <w:szCs w:val="24"/>
          <w:lang w:val="zh-CN"/>
        </w:rPr>
        <w:t>迁移量测定法</w:t>
      </w:r>
      <w:r>
        <w:rPr>
          <w:sz w:val="24"/>
          <w:szCs w:val="24"/>
        </w:rPr>
        <w:t>（起草中）</w:t>
      </w:r>
    </w:p>
    <w:p w:rsidR="00DA551E" w:rsidRDefault="0051000E">
      <w:pPr>
        <w:spacing w:line="360" w:lineRule="auto"/>
        <w:ind w:firstLineChars="200" w:firstLine="480"/>
        <w:jc w:val="left"/>
        <w:rPr>
          <w:sz w:val="24"/>
          <w:szCs w:val="24"/>
          <w:lang w:val="zh-CN"/>
        </w:rPr>
      </w:pPr>
      <w:r>
        <w:rPr>
          <w:sz w:val="24"/>
          <w:szCs w:val="24"/>
        </w:rPr>
        <w:t>通则</w:t>
      </w:r>
      <w:r>
        <w:rPr>
          <w:sz w:val="24"/>
          <w:szCs w:val="24"/>
        </w:rPr>
        <w:t xml:space="preserve"> 4255 </w:t>
      </w:r>
      <w:r>
        <w:rPr>
          <w:rFonts w:hint="eastAsia"/>
          <w:sz w:val="24"/>
          <w:szCs w:val="24"/>
          <w:lang w:val="zh-CN"/>
        </w:rPr>
        <w:t>金属涂料涂层</w:t>
      </w:r>
      <w:r>
        <w:rPr>
          <w:sz w:val="24"/>
          <w:szCs w:val="24"/>
          <w:lang w:val="zh-CN"/>
        </w:rPr>
        <w:t>中双酚</w:t>
      </w:r>
      <w:r>
        <w:rPr>
          <w:sz w:val="24"/>
          <w:szCs w:val="24"/>
          <w:lang w:val="zh-CN"/>
        </w:rPr>
        <w:t>A</w:t>
      </w:r>
      <w:r>
        <w:rPr>
          <w:sz w:val="24"/>
          <w:szCs w:val="24"/>
          <w:lang w:val="zh-CN"/>
        </w:rPr>
        <w:t>迁移量测定法</w:t>
      </w:r>
      <w:r>
        <w:rPr>
          <w:sz w:val="24"/>
          <w:szCs w:val="24"/>
        </w:rPr>
        <w:t>（起草中）</w:t>
      </w:r>
    </w:p>
    <w:p w:rsidR="00DA551E" w:rsidRDefault="0051000E">
      <w:pPr>
        <w:spacing w:line="360" w:lineRule="auto"/>
        <w:jc w:val="left"/>
        <w:rPr>
          <w:b/>
          <w:sz w:val="24"/>
          <w:szCs w:val="24"/>
        </w:rPr>
      </w:pPr>
      <w:r>
        <w:rPr>
          <w:b/>
          <w:sz w:val="24"/>
          <w:szCs w:val="24"/>
        </w:rPr>
        <w:t>3</w:t>
      </w:r>
      <w:r>
        <w:rPr>
          <w:b/>
          <w:sz w:val="24"/>
          <w:szCs w:val="24"/>
        </w:rPr>
        <w:t>技术要求</w:t>
      </w:r>
    </w:p>
    <w:p w:rsidR="00DA551E" w:rsidRDefault="0051000E">
      <w:pPr>
        <w:spacing w:line="360" w:lineRule="auto"/>
        <w:jc w:val="left"/>
        <w:rPr>
          <w:b/>
          <w:sz w:val="24"/>
          <w:szCs w:val="24"/>
        </w:rPr>
      </w:pPr>
      <w:r>
        <w:rPr>
          <w:b/>
          <w:sz w:val="24"/>
          <w:szCs w:val="24"/>
        </w:rPr>
        <w:t xml:space="preserve">3.1 </w:t>
      </w:r>
      <w:r>
        <w:rPr>
          <w:b/>
          <w:sz w:val="24"/>
          <w:szCs w:val="24"/>
        </w:rPr>
        <w:t>总体要求</w:t>
      </w:r>
      <w:r>
        <w:rPr>
          <w:b/>
          <w:sz w:val="24"/>
          <w:szCs w:val="24"/>
        </w:rPr>
        <w:t xml:space="preserve"> </w:t>
      </w:r>
    </w:p>
    <w:p w:rsidR="00DA551E" w:rsidRDefault="0051000E">
      <w:pPr>
        <w:spacing w:line="360" w:lineRule="auto"/>
        <w:ind w:firstLineChars="200" w:firstLine="480"/>
        <w:jc w:val="left"/>
        <w:rPr>
          <w:sz w:val="24"/>
        </w:rPr>
      </w:pPr>
      <w:r>
        <w:rPr>
          <w:sz w:val="24"/>
          <w:szCs w:val="24"/>
        </w:rPr>
        <w:t>应符合药品包装用金属组件和容器通则（通则</w:t>
      </w:r>
      <w:r>
        <w:rPr>
          <w:sz w:val="24"/>
          <w:szCs w:val="24"/>
        </w:rPr>
        <w:t xml:space="preserve"> 5400</w:t>
      </w:r>
      <w:r>
        <w:rPr>
          <w:sz w:val="24"/>
          <w:szCs w:val="24"/>
        </w:rPr>
        <w:t>）</w:t>
      </w:r>
      <w:r>
        <w:rPr>
          <w:sz w:val="24"/>
        </w:rPr>
        <w:t>的规定，并符合下列质量控制的要求。</w:t>
      </w:r>
    </w:p>
    <w:p w:rsidR="00DA551E" w:rsidRDefault="0051000E">
      <w:pPr>
        <w:spacing w:line="360" w:lineRule="auto"/>
        <w:jc w:val="left"/>
        <w:rPr>
          <w:b/>
          <w:sz w:val="24"/>
          <w:szCs w:val="24"/>
        </w:rPr>
      </w:pPr>
      <w:r>
        <w:rPr>
          <w:b/>
          <w:sz w:val="24"/>
          <w:szCs w:val="24"/>
        </w:rPr>
        <w:t xml:space="preserve">3.2 </w:t>
      </w:r>
      <w:r>
        <w:rPr>
          <w:b/>
          <w:sz w:val="24"/>
          <w:szCs w:val="24"/>
        </w:rPr>
        <w:t>质量控制</w:t>
      </w:r>
    </w:p>
    <w:p w:rsidR="00DA551E" w:rsidRDefault="0051000E">
      <w:pPr>
        <w:autoSpaceDE w:val="0"/>
        <w:autoSpaceDN w:val="0"/>
        <w:adjustRightInd w:val="0"/>
        <w:spacing w:line="360" w:lineRule="auto"/>
        <w:ind w:firstLineChars="200" w:firstLine="480"/>
        <w:jc w:val="left"/>
        <w:rPr>
          <w:rFonts w:eastAsia="微软雅黑"/>
          <w:kern w:val="0"/>
          <w:sz w:val="20"/>
          <w:szCs w:val="20"/>
        </w:rPr>
      </w:pPr>
      <w:r>
        <w:rPr>
          <w:sz w:val="24"/>
          <w:szCs w:val="24"/>
          <w:lang w:val="zh-CN" w:bidi="zh-CN"/>
        </w:rPr>
        <w:t>吸入气雾剂用金属</w:t>
      </w:r>
      <w:proofErr w:type="gramStart"/>
      <w:r>
        <w:rPr>
          <w:sz w:val="24"/>
          <w:szCs w:val="24"/>
          <w:lang w:val="zh-CN" w:bidi="zh-CN"/>
        </w:rPr>
        <w:t>罐具有</w:t>
      </w:r>
      <w:proofErr w:type="gramEnd"/>
      <w:r>
        <w:rPr>
          <w:sz w:val="24"/>
          <w:szCs w:val="24"/>
          <w:lang w:val="zh-CN" w:bidi="zh-CN"/>
        </w:rPr>
        <w:t>符合使用要求的</w:t>
      </w:r>
      <w:r>
        <w:rPr>
          <w:sz w:val="24"/>
          <w:szCs w:val="24"/>
          <w:lang w:bidi="zh-CN"/>
        </w:rPr>
        <w:t>化学、</w:t>
      </w:r>
      <w:r>
        <w:rPr>
          <w:sz w:val="24"/>
          <w:szCs w:val="24"/>
          <w:lang w:val="zh-CN" w:bidi="zh-CN"/>
        </w:rPr>
        <w:t>物理机械性能。</w:t>
      </w:r>
    </w:p>
    <w:p w:rsidR="00DA551E" w:rsidRDefault="0051000E">
      <w:pPr>
        <w:pStyle w:val="a5"/>
        <w:tabs>
          <w:tab w:val="left" w:pos="580"/>
        </w:tabs>
        <w:spacing w:line="360" w:lineRule="auto"/>
        <w:ind w:left="0"/>
        <w:jc w:val="left"/>
        <w:rPr>
          <w:rFonts w:ascii="Times New Roman" w:hAnsi="Times New Roman" w:cs="Times New Roman"/>
          <w:szCs w:val="21"/>
        </w:rPr>
      </w:pPr>
      <w:r>
        <w:rPr>
          <w:rFonts w:ascii="Times New Roman" w:hAnsi="Times New Roman" w:cs="Times New Roman"/>
          <w:b/>
          <w:lang w:val="en-US"/>
        </w:rPr>
        <w:t xml:space="preserve">3.2.1 </w:t>
      </w:r>
      <w:r>
        <w:rPr>
          <w:rFonts w:ascii="Times New Roman" w:hAnsi="Times New Roman" w:cs="Times New Roman"/>
          <w:b/>
          <w:lang w:val="en-US"/>
        </w:rPr>
        <w:t>外观</w:t>
      </w:r>
      <w:r>
        <w:rPr>
          <w:rFonts w:ascii="Times New Roman" w:hAnsi="Times New Roman" w:cs="Times New Roman"/>
          <w:b/>
          <w:lang w:val="en-US"/>
        </w:rPr>
        <w:t xml:space="preserve"> </w:t>
      </w:r>
      <w:r>
        <w:rPr>
          <w:rFonts w:ascii="Times New Roman" w:hAnsi="Times New Roman" w:cs="Times New Roman"/>
          <w:szCs w:val="21"/>
        </w:rPr>
        <w:t>在自然光线明亮处，正视目测，应符合企业标准或质量协议的规定。</w:t>
      </w:r>
    </w:p>
    <w:p w:rsidR="00DA551E" w:rsidRDefault="0051000E">
      <w:pPr>
        <w:adjustRightInd w:val="0"/>
        <w:snapToGrid w:val="0"/>
        <w:spacing w:line="360" w:lineRule="auto"/>
        <w:rPr>
          <w:sz w:val="24"/>
          <w:szCs w:val="24"/>
          <w:lang w:val="zh-CN" w:bidi="zh-CN"/>
        </w:rPr>
      </w:pPr>
      <w:r>
        <w:rPr>
          <w:b/>
          <w:sz w:val="24"/>
          <w:szCs w:val="24"/>
        </w:rPr>
        <w:t xml:space="preserve">3.2.2 </w:t>
      </w:r>
      <w:r>
        <w:rPr>
          <w:b/>
          <w:sz w:val="24"/>
          <w:szCs w:val="24"/>
          <w:lang w:val="zh-CN" w:bidi="zh-CN"/>
        </w:rPr>
        <w:t>容器重量</w:t>
      </w:r>
      <w:r>
        <w:rPr>
          <w:b/>
          <w:sz w:val="24"/>
          <w:szCs w:val="24"/>
          <w:lang w:bidi="zh-CN"/>
        </w:rPr>
        <w:t xml:space="preserve"> </w:t>
      </w:r>
      <w:r>
        <w:rPr>
          <w:sz w:val="24"/>
          <w:szCs w:val="24"/>
          <w:lang w:val="zh-CN" w:bidi="zh-CN"/>
        </w:rPr>
        <w:t>取本品适量，使用精度</w:t>
      </w:r>
      <w:r>
        <w:rPr>
          <w:rFonts w:hint="eastAsia"/>
          <w:sz w:val="24"/>
          <w:szCs w:val="24"/>
          <w:lang w:bidi="zh-CN"/>
        </w:rPr>
        <w:t>不低于</w:t>
      </w:r>
      <w:r>
        <w:rPr>
          <w:sz w:val="24"/>
          <w:szCs w:val="24"/>
          <w:lang w:val="zh-CN" w:bidi="zh-CN"/>
        </w:rPr>
        <w:t>0.01g</w:t>
      </w:r>
      <w:r>
        <w:rPr>
          <w:sz w:val="24"/>
          <w:szCs w:val="24"/>
          <w:lang w:val="zh-CN" w:bidi="zh-CN"/>
        </w:rPr>
        <w:t>的分析天平分别称重，应符合企业标准或质量协议的规定。</w:t>
      </w:r>
    </w:p>
    <w:p w:rsidR="00DA551E" w:rsidRDefault="0051000E">
      <w:pPr>
        <w:adjustRightInd w:val="0"/>
        <w:snapToGrid w:val="0"/>
        <w:spacing w:line="360" w:lineRule="auto"/>
        <w:rPr>
          <w:sz w:val="24"/>
          <w:szCs w:val="24"/>
          <w:lang w:val="zh-CN" w:bidi="zh-CN"/>
        </w:rPr>
      </w:pPr>
      <w:r>
        <w:rPr>
          <w:rFonts w:hint="eastAsia"/>
          <w:b/>
          <w:sz w:val="24"/>
          <w:szCs w:val="24"/>
        </w:rPr>
        <w:t>3.2.3</w:t>
      </w:r>
      <w:r>
        <w:rPr>
          <w:rFonts w:hint="eastAsia"/>
          <w:b/>
          <w:sz w:val="24"/>
          <w:szCs w:val="24"/>
        </w:rPr>
        <w:t xml:space="preserve"> </w:t>
      </w:r>
      <w:r>
        <w:rPr>
          <w:b/>
          <w:sz w:val="24"/>
          <w:szCs w:val="24"/>
        </w:rPr>
        <w:t>金属罐耐压性能</w:t>
      </w:r>
      <w:r>
        <w:rPr>
          <w:rFonts w:hint="eastAsia"/>
          <w:b/>
          <w:sz w:val="24"/>
          <w:szCs w:val="24"/>
        </w:rPr>
        <w:t xml:space="preserve"> </w:t>
      </w:r>
      <w:r>
        <w:rPr>
          <w:sz w:val="24"/>
          <w:szCs w:val="24"/>
          <w:lang w:bidi="zh-CN"/>
        </w:rPr>
        <w:t>对于预期使用抛射剂的吸入气雾剂用金属罐，</w:t>
      </w:r>
      <w:r>
        <w:rPr>
          <w:sz w:val="24"/>
          <w:szCs w:val="24"/>
          <w:lang w:val="zh-CN" w:bidi="zh-CN"/>
        </w:rPr>
        <w:t>照</w:t>
      </w:r>
      <w:r>
        <w:rPr>
          <w:sz w:val="24"/>
          <w:szCs w:val="24"/>
          <w:lang w:bidi="zh-CN"/>
        </w:rPr>
        <w:t>金属罐耐压</w:t>
      </w:r>
      <w:r>
        <w:rPr>
          <w:sz w:val="24"/>
          <w:szCs w:val="24"/>
          <w:lang w:val="zh-CN" w:bidi="zh-CN"/>
        </w:rPr>
        <w:t>测定法（通则</w:t>
      </w:r>
      <w:r>
        <w:rPr>
          <w:sz w:val="24"/>
          <w:szCs w:val="24"/>
          <w:lang w:val="zh-CN" w:bidi="zh-CN"/>
        </w:rPr>
        <w:t xml:space="preserve"> </w:t>
      </w:r>
      <w:r>
        <w:rPr>
          <w:sz w:val="24"/>
          <w:szCs w:val="24"/>
          <w:lang w:bidi="zh-CN"/>
        </w:rPr>
        <w:t>4051</w:t>
      </w:r>
      <w:r>
        <w:rPr>
          <w:sz w:val="24"/>
          <w:szCs w:val="24"/>
          <w:lang w:val="zh-CN" w:bidi="zh-CN"/>
        </w:rPr>
        <w:t>）</w:t>
      </w:r>
      <w:r>
        <w:rPr>
          <w:sz w:val="24"/>
          <w:szCs w:val="24"/>
          <w:lang w:bidi="zh-CN"/>
        </w:rPr>
        <w:t>第二法</w:t>
      </w:r>
      <w:r>
        <w:rPr>
          <w:sz w:val="24"/>
          <w:szCs w:val="24"/>
          <w:lang w:val="zh-CN" w:bidi="zh-CN"/>
        </w:rPr>
        <w:t>检查，应符合规定。</w:t>
      </w:r>
    </w:p>
    <w:p w:rsidR="00DA551E" w:rsidRDefault="0051000E">
      <w:pPr>
        <w:pStyle w:val="a5"/>
        <w:tabs>
          <w:tab w:val="left" w:pos="580"/>
        </w:tabs>
        <w:spacing w:line="360" w:lineRule="auto"/>
        <w:ind w:left="0"/>
        <w:jc w:val="left"/>
        <w:rPr>
          <w:rFonts w:ascii="Times New Roman" w:hAnsi="Times New Roman" w:cs="Times New Roman"/>
        </w:rPr>
      </w:pPr>
      <w:r>
        <w:rPr>
          <w:rFonts w:ascii="Times New Roman" w:hAnsi="Times New Roman" w:cs="Times New Roman"/>
          <w:b/>
          <w:bCs/>
          <w:lang w:val="en-US"/>
        </w:rPr>
        <w:t xml:space="preserve">3.2.4 </w:t>
      </w:r>
      <w:r>
        <w:rPr>
          <w:rFonts w:ascii="Times New Roman" w:hAnsi="Times New Roman" w:cs="Times New Roman"/>
          <w:b/>
          <w:bCs/>
          <w:lang w:val="en-US"/>
        </w:rPr>
        <w:t>内外涂层附着力</w:t>
      </w:r>
      <w:r>
        <w:rPr>
          <w:rFonts w:ascii="Times New Roman" w:hAnsi="Times New Roman" w:cs="Times New Roman" w:hint="eastAsia"/>
          <w:b/>
          <w:bCs/>
          <w:lang w:val="en-US"/>
        </w:rPr>
        <w:t xml:space="preserve"> </w:t>
      </w:r>
      <w:r>
        <w:rPr>
          <w:rFonts w:ascii="Times New Roman" w:hAnsi="Times New Roman" w:cs="Times New Roman"/>
          <w:lang w:val="en-US"/>
        </w:rPr>
        <w:t>对于具有内外涂层的吸入气雾剂用金属罐，</w:t>
      </w:r>
      <w:r>
        <w:rPr>
          <w:rFonts w:ascii="Times New Roman" w:hAnsi="Times New Roman" w:cs="Times New Roman"/>
        </w:rPr>
        <w:t>照</w:t>
      </w:r>
      <w:r>
        <w:rPr>
          <w:rFonts w:ascii="Times New Roman" w:hAnsi="Times New Roman" w:cs="Times New Roman"/>
          <w:bCs/>
          <w:lang w:val="en-US"/>
        </w:rPr>
        <w:t>金属内外涂层附着力测定法</w:t>
      </w:r>
      <w:r>
        <w:rPr>
          <w:rFonts w:ascii="Times New Roman" w:hAnsi="Times New Roman" w:cs="Times New Roman"/>
        </w:rPr>
        <w:t>（通则</w:t>
      </w:r>
      <w:r>
        <w:rPr>
          <w:rFonts w:ascii="Times New Roman" w:hAnsi="Times New Roman" w:cs="Times New Roman"/>
          <w:lang w:val="en-US"/>
        </w:rPr>
        <w:t>4052</w:t>
      </w:r>
      <w:r>
        <w:rPr>
          <w:rFonts w:ascii="Times New Roman" w:hAnsi="Times New Roman" w:cs="Times New Roman"/>
        </w:rPr>
        <w:t>）检查，</w:t>
      </w:r>
      <w:r>
        <w:rPr>
          <w:rFonts w:ascii="Times New Roman" w:hAnsi="Times New Roman" w:cs="Times New Roman"/>
          <w:lang w:val="en-US"/>
        </w:rPr>
        <w:t>涂层应不脱落</w:t>
      </w:r>
      <w:r>
        <w:rPr>
          <w:rFonts w:ascii="Times New Roman" w:hAnsi="Times New Roman" w:cs="Times New Roman"/>
        </w:rPr>
        <w:t>。</w:t>
      </w:r>
    </w:p>
    <w:p w:rsidR="00DA551E" w:rsidRDefault="0051000E">
      <w:pPr>
        <w:pStyle w:val="a5"/>
        <w:tabs>
          <w:tab w:val="left" w:pos="580"/>
        </w:tabs>
        <w:spacing w:line="360" w:lineRule="auto"/>
        <w:ind w:left="0"/>
        <w:jc w:val="left"/>
        <w:rPr>
          <w:rFonts w:ascii="Times New Roman" w:hAnsi="Times New Roman" w:cs="Times New Roman"/>
          <w:szCs w:val="21"/>
        </w:rPr>
      </w:pPr>
      <w:r>
        <w:rPr>
          <w:rFonts w:ascii="Times New Roman" w:hAnsi="Times New Roman" w:cs="Times New Roman"/>
          <w:b/>
          <w:bCs/>
          <w:lang w:val="en-US"/>
        </w:rPr>
        <w:lastRenderedPageBreak/>
        <w:t xml:space="preserve">3.2.5 </w:t>
      </w:r>
      <w:r>
        <w:rPr>
          <w:rFonts w:ascii="Times New Roman" w:hAnsi="Times New Roman" w:cs="Times New Roman"/>
          <w:b/>
          <w:bCs/>
          <w:lang w:val="en-US"/>
        </w:rPr>
        <w:t>氧化膜厚度</w:t>
      </w:r>
      <w:r>
        <w:rPr>
          <w:rFonts w:ascii="Times New Roman" w:hAnsi="Times New Roman" w:cs="Times New Roman" w:hint="eastAsia"/>
          <w:b/>
          <w:bCs/>
          <w:lang w:val="en-US"/>
        </w:rPr>
        <w:t xml:space="preserve"> </w:t>
      </w:r>
      <w:r>
        <w:rPr>
          <w:rFonts w:ascii="Times New Roman" w:hAnsi="Times New Roman" w:cs="Times New Roman"/>
          <w:lang w:val="en-US"/>
        </w:rPr>
        <w:t>对于采用阳极氧化涂层的吸入气雾剂用金属罐，</w:t>
      </w:r>
      <w:r>
        <w:rPr>
          <w:rFonts w:ascii="Times New Roman" w:hAnsi="Times New Roman" w:cs="Times New Roman"/>
        </w:rPr>
        <w:t>照</w:t>
      </w:r>
      <w:r>
        <w:rPr>
          <w:rFonts w:ascii="Times New Roman" w:hAnsi="Times New Roman" w:cs="Times New Roman"/>
          <w:bCs/>
          <w:lang w:val="en-US"/>
        </w:rPr>
        <w:t>金属氧化膜厚度测定法</w:t>
      </w:r>
      <w:r>
        <w:rPr>
          <w:rFonts w:ascii="Times New Roman" w:hAnsi="Times New Roman" w:cs="Times New Roman"/>
        </w:rPr>
        <w:t>（通则</w:t>
      </w:r>
      <w:r>
        <w:rPr>
          <w:rFonts w:ascii="Times New Roman" w:hAnsi="Times New Roman" w:cs="Times New Roman"/>
          <w:lang w:val="en-US"/>
        </w:rPr>
        <w:t>4057</w:t>
      </w:r>
      <w:r>
        <w:rPr>
          <w:rFonts w:ascii="Times New Roman" w:hAnsi="Times New Roman" w:cs="Times New Roman"/>
        </w:rPr>
        <w:t>）检查，</w:t>
      </w:r>
      <w:r>
        <w:rPr>
          <w:rFonts w:ascii="Times New Roman" w:hAnsi="Times New Roman" w:cs="Times New Roman"/>
          <w:lang w:val="en-US"/>
        </w:rPr>
        <w:t>应符合</w:t>
      </w:r>
      <w:r>
        <w:rPr>
          <w:rFonts w:ascii="Times New Roman" w:hAnsi="Times New Roman" w:cs="Times New Roman"/>
          <w:szCs w:val="21"/>
        </w:rPr>
        <w:t>企业标准或质量协议的规定。</w:t>
      </w:r>
    </w:p>
    <w:p w:rsidR="00DA551E" w:rsidRDefault="0051000E">
      <w:pPr>
        <w:pStyle w:val="a5"/>
        <w:tabs>
          <w:tab w:val="left" w:pos="580"/>
        </w:tabs>
        <w:spacing w:line="360" w:lineRule="auto"/>
        <w:ind w:left="0"/>
        <w:jc w:val="left"/>
        <w:rPr>
          <w:rFonts w:ascii="Times New Roman" w:hAnsi="Times New Roman" w:cs="Times New Roman"/>
        </w:rPr>
      </w:pPr>
      <w:r>
        <w:rPr>
          <w:rFonts w:ascii="Times New Roman" w:hAnsi="Times New Roman" w:cs="Times New Roman"/>
          <w:b/>
          <w:bCs/>
          <w:lang w:val="en-US"/>
        </w:rPr>
        <w:t xml:space="preserve">3.2.6 </w:t>
      </w:r>
      <w:r>
        <w:rPr>
          <w:rFonts w:ascii="Times New Roman" w:hAnsi="Times New Roman" w:cs="Times New Roman"/>
          <w:b/>
          <w:bCs/>
          <w:lang w:val="en-US"/>
        </w:rPr>
        <w:t>表面能</w:t>
      </w:r>
      <w:r>
        <w:rPr>
          <w:rFonts w:ascii="Times New Roman" w:hAnsi="Times New Roman" w:cs="Times New Roman" w:hint="eastAsia"/>
          <w:b/>
          <w:bCs/>
          <w:lang w:val="en-US"/>
        </w:rPr>
        <w:t xml:space="preserve"> </w:t>
      </w:r>
      <w:r>
        <w:rPr>
          <w:rFonts w:ascii="Times New Roman" w:hAnsi="Times New Roman" w:cs="Times New Roman"/>
          <w:lang w:val="en-US"/>
        </w:rPr>
        <w:t>对于采用等离子</w:t>
      </w:r>
      <w:r>
        <w:rPr>
          <w:rFonts w:ascii="Times New Roman" w:hAnsi="Times New Roman" w:cs="Times New Roman" w:hint="eastAsia"/>
          <w:lang w:val="en-US"/>
        </w:rPr>
        <w:t>表面处理</w:t>
      </w:r>
      <w:r>
        <w:rPr>
          <w:rFonts w:ascii="Times New Roman" w:hAnsi="Times New Roman" w:cs="Times New Roman"/>
          <w:lang w:val="en-US"/>
        </w:rPr>
        <w:t>的金属吸入气雾剂罐，使用干净棉签</w:t>
      </w:r>
      <w:proofErr w:type="gramStart"/>
      <w:r>
        <w:rPr>
          <w:rFonts w:ascii="Times New Roman" w:hAnsi="Times New Roman" w:cs="Times New Roman"/>
          <w:lang w:val="en-US"/>
        </w:rPr>
        <w:t>蘸</w:t>
      </w:r>
      <w:proofErr w:type="gramEnd"/>
      <w:r>
        <w:rPr>
          <w:rFonts w:ascii="Times New Roman" w:hAnsi="Times New Roman" w:cs="Times New Roman"/>
          <w:lang w:val="en-US"/>
        </w:rPr>
        <w:t>取取</w:t>
      </w:r>
      <w:proofErr w:type="gramStart"/>
      <w:r>
        <w:rPr>
          <w:rFonts w:ascii="Times New Roman" w:hAnsi="Times New Roman" w:cs="Times New Roman"/>
          <w:lang w:val="en-US"/>
        </w:rPr>
        <w:t>不同达音的</w:t>
      </w:r>
      <w:proofErr w:type="gramEnd"/>
      <w:r>
        <w:rPr>
          <w:rFonts w:ascii="Times New Roman" w:hAnsi="Times New Roman" w:cs="Times New Roman"/>
          <w:lang w:val="en-US"/>
        </w:rPr>
        <w:t>测试液分别应用于样品罐内表面的不同区域，照金属涂层表面能测定法（通则</w:t>
      </w:r>
      <w:r>
        <w:rPr>
          <w:rFonts w:ascii="Times New Roman" w:hAnsi="Times New Roman" w:cs="Times New Roman"/>
          <w:lang w:val="en-US"/>
        </w:rPr>
        <w:t>4061</w:t>
      </w:r>
      <w:r>
        <w:rPr>
          <w:rFonts w:ascii="Times New Roman" w:hAnsi="Times New Roman" w:cs="Times New Roman"/>
          <w:lang w:val="en-US"/>
        </w:rPr>
        <w:t>）</w:t>
      </w:r>
      <w:r>
        <w:rPr>
          <w:rFonts w:ascii="Times New Roman" w:hAnsi="Times New Roman" w:cs="Times New Roman"/>
        </w:rPr>
        <w:t>检查，</w:t>
      </w:r>
      <w:r>
        <w:rPr>
          <w:rFonts w:ascii="Times New Roman" w:hAnsi="Times New Roman" w:cs="Times New Roman"/>
          <w:lang w:val="en-US"/>
        </w:rPr>
        <w:t>应符合</w:t>
      </w:r>
      <w:r>
        <w:rPr>
          <w:rFonts w:ascii="Times New Roman" w:hAnsi="Times New Roman" w:cs="Times New Roman"/>
        </w:rPr>
        <w:t>企业标准或质量协议的规定。</w:t>
      </w:r>
    </w:p>
    <w:p w:rsidR="00DA551E" w:rsidRDefault="0051000E">
      <w:pPr>
        <w:widowControl/>
        <w:overflowPunct w:val="0"/>
        <w:adjustRightInd w:val="0"/>
        <w:snapToGrid w:val="0"/>
        <w:spacing w:line="360" w:lineRule="auto"/>
        <w:jc w:val="left"/>
        <w:rPr>
          <w:sz w:val="24"/>
          <w:szCs w:val="24"/>
        </w:rPr>
      </w:pPr>
      <w:r>
        <w:rPr>
          <w:b/>
          <w:bCs/>
          <w:sz w:val="24"/>
          <w:szCs w:val="24"/>
        </w:rPr>
        <w:t xml:space="preserve">3.2.7 </w:t>
      </w:r>
      <w:r>
        <w:rPr>
          <w:b/>
          <w:bCs/>
          <w:sz w:val="24"/>
          <w:szCs w:val="24"/>
        </w:rPr>
        <w:t>接触角</w:t>
      </w:r>
      <w:r>
        <w:rPr>
          <w:rFonts w:hint="eastAsia"/>
          <w:b/>
          <w:bCs/>
          <w:sz w:val="24"/>
          <w:szCs w:val="24"/>
        </w:rPr>
        <w:t xml:space="preserve"> </w:t>
      </w:r>
      <w:r>
        <w:rPr>
          <w:sz w:val="24"/>
          <w:szCs w:val="24"/>
        </w:rPr>
        <w:t>对于采用等离子</w:t>
      </w:r>
      <w:r>
        <w:rPr>
          <w:sz w:val="24"/>
          <w:szCs w:val="24"/>
          <w:lang w:bidi="zh-CN"/>
        </w:rPr>
        <w:t>表面处理</w:t>
      </w:r>
      <w:r>
        <w:rPr>
          <w:sz w:val="24"/>
          <w:szCs w:val="24"/>
          <w:lang w:bidi="zh-CN"/>
        </w:rPr>
        <w:t>的</w:t>
      </w:r>
      <w:r>
        <w:rPr>
          <w:sz w:val="24"/>
          <w:szCs w:val="24"/>
        </w:rPr>
        <w:t>金属吸入气雾剂罐，将制备好的样品放置在样品架上。照金属涂层接触角测定法（通则</w:t>
      </w:r>
      <w:r>
        <w:rPr>
          <w:sz w:val="24"/>
          <w:szCs w:val="24"/>
        </w:rPr>
        <w:t>4062</w:t>
      </w:r>
      <w:r>
        <w:rPr>
          <w:sz w:val="24"/>
          <w:szCs w:val="24"/>
        </w:rPr>
        <w:t>）检查，测量液滴与测试样品表面之间的接触角，应符合企业标准或质量协议的规定。</w:t>
      </w:r>
    </w:p>
    <w:p w:rsidR="00DA551E" w:rsidRDefault="0051000E">
      <w:pPr>
        <w:widowControl/>
        <w:overflowPunct w:val="0"/>
        <w:adjustRightInd w:val="0"/>
        <w:snapToGrid w:val="0"/>
        <w:spacing w:line="360" w:lineRule="auto"/>
        <w:jc w:val="left"/>
        <w:rPr>
          <w:bCs/>
          <w:sz w:val="24"/>
          <w:szCs w:val="24"/>
          <w:lang w:bidi="zh-CN"/>
        </w:rPr>
      </w:pPr>
      <w:r>
        <w:rPr>
          <w:b/>
          <w:bCs/>
          <w:sz w:val="24"/>
          <w:szCs w:val="24"/>
        </w:rPr>
        <w:t>3.2.</w:t>
      </w:r>
      <w:r>
        <w:rPr>
          <w:rFonts w:hint="eastAsia"/>
          <w:b/>
          <w:bCs/>
          <w:sz w:val="24"/>
          <w:szCs w:val="24"/>
        </w:rPr>
        <w:t>8</w:t>
      </w:r>
      <w:r>
        <w:rPr>
          <w:rFonts w:hint="eastAsia"/>
          <w:b/>
          <w:bCs/>
          <w:sz w:val="24"/>
          <w:szCs w:val="24"/>
        </w:rPr>
        <w:t>双</w:t>
      </w:r>
      <w:proofErr w:type="gramStart"/>
      <w:r>
        <w:rPr>
          <w:rFonts w:hint="eastAsia"/>
          <w:b/>
          <w:bCs/>
          <w:sz w:val="24"/>
          <w:szCs w:val="24"/>
        </w:rPr>
        <w:t>酚</w:t>
      </w:r>
      <w:proofErr w:type="gramEnd"/>
      <w:r>
        <w:rPr>
          <w:rFonts w:hint="eastAsia"/>
          <w:b/>
          <w:bCs/>
          <w:sz w:val="24"/>
          <w:szCs w:val="24"/>
        </w:rPr>
        <w:t>A</w:t>
      </w:r>
      <w:r>
        <w:rPr>
          <w:rFonts w:hint="eastAsia"/>
          <w:b/>
          <w:bCs/>
          <w:sz w:val="24"/>
          <w:szCs w:val="24"/>
        </w:rPr>
        <w:t>迁移量</w:t>
      </w:r>
      <w:r>
        <w:rPr>
          <w:rFonts w:hint="eastAsia"/>
          <w:b/>
          <w:bCs/>
          <w:sz w:val="24"/>
          <w:szCs w:val="24"/>
        </w:rPr>
        <w:t xml:space="preserve"> </w:t>
      </w:r>
      <w:r>
        <w:rPr>
          <w:rFonts w:hint="eastAsia"/>
          <w:bCs/>
          <w:sz w:val="24"/>
          <w:szCs w:val="24"/>
          <w:lang w:bidi="zh-CN"/>
        </w:rPr>
        <w:t>适用于</w:t>
      </w:r>
      <w:r>
        <w:rPr>
          <w:rFonts w:hint="eastAsia"/>
          <w:bCs/>
          <w:sz w:val="24"/>
          <w:szCs w:val="24"/>
          <w:lang w:bidi="zh-CN"/>
        </w:rPr>
        <w:t>内涂层为环氧酚醛树脂类涂料的吸入制剂用金属罐。取样品适量，加</w:t>
      </w:r>
      <w:r>
        <w:rPr>
          <w:rFonts w:hint="eastAsia"/>
          <w:bCs/>
          <w:sz w:val="24"/>
          <w:szCs w:val="24"/>
          <w:lang w:bidi="zh-CN"/>
        </w:rPr>
        <w:t>50%</w:t>
      </w:r>
      <w:r>
        <w:rPr>
          <w:rFonts w:hint="eastAsia"/>
          <w:bCs/>
          <w:sz w:val="24"/>
          <w:szCs w:val="24"/>
          <w:lang w:bidi="zh-CN"/>
        </w:rPr>
        <w:t>乙醇至标示容量，照金属涂料涂层中双酚</w:t>
      </w:r>
      <w:r>
        <w:rPr>
          <w:rFonts w:hint="eastAsia"/>
          <w:bCs/>
          <w:sz w:val="24"/>
          <w:szCs w:val="24"/>
          <w:lang w:bidi="zh-CN"/>
        </w:rPr>
        <w:t>A</w:t>
      </w:r>
      <w:r>
        <w:rPr>
          <w:rFonts w:hint="eastAsia"/>
          <w:bCs/>
          <w:sz w:val="24"/>
          <w:szCs w:val="24"/>
          <w:lang w:bidi="zh-CN"/>
        </w:rPr>
        <w:t>迁移量测定法（通则</w:t>
      </w:r>
      <w:r>
        <w:rPr>
          <w:rFonts w:hint="eastAsia"/>
          <w:bCs/>
          <w:sz w:val="24"/>
          <w:szCs w:val="24"/>
          <w:lang w:bidi="zh-CN"/>
        </w:rPr>
        <w:t>4255</w:t>
      </w:r>
      <w:r>
        <w:rPr>
          <w:rFonts w:hint="eastAsia"/>
          <w:bCs/>
          <w:sz w:val="24"/>
          <w:szCs w:val="24"/>
          <w:lang w:bidi="zh-CN"/>
        </w:rPr>
        <w:t>）测定，应</w:t>
      </w:r>
      <w:r>
        <w:rPr>
          <w:sz w:val="24"/>
          <w:szCs w:val="24"/>
        </w:rPr>
        <w:t>符合</w:t>
      </w:r>
      <w:r>
        <w:rPr>
          <w:rFonts w:hint="eastAsia"/>
          <w:bCs/>
          <w:sz w:val="24"/>
          <w:szCs w:val="24"/>
          <w:lang w:bidi="zh-CN"/>
        </w:rPr>
        <w:t>企业标准或质量协议的规定。</w:t>
      </w:r>
    </w:p>
    <w:p w:rsidR="00DA551E" w:rsidRDefault="0051000E">
      <w:pPr>
        <w:widowControl/>
        <w:overflowPunct w:val="0"/>
        <w:adjustRightInd w:val="0"/>
        <w:snapToGrid w:val="0"/>
        <w:spacing w:line="360" w:lineRule="auto"/>
        <w:jc w:val="left"/>
        <w:rPr>
          <w:bCs/>
          <w:sz w:val="24"/>
          <w:szCs w:val="24"/>
          <w:lang w:bidi="zh-CN"/>
        </w:rPr>
      </w:pPr>
      <w:r>
        <w:rPr>
          <w:b/>
          <w:bCs/>
          <w:sz w:val="24"/>
          <w:szCs w:val="24"/>
        </w:rPr>
        <w:t>3.2.</w:t>
      </w:r>
      <w:r>
        <w:rPr>
          <w:rFonts w:hint="eastAsia"/>
          <w:b/>
          <w:bCs/>
          <w:sz w:val="24"/>
          <w:szCs w:val="24"/>
        </w:rPr>
        <w:t>9</w:t>
      </w:r>
      <w:r>
        <w:rPr>
          <w:b/>
          <w:bCs/>
          <w:sz w:val="24"/>
          <w:szCs w:val="24"/>
        </w:rPr>
        <w:t xml:space="preserve"> </w:t>
      </w:r>
      <w:r>
        <w:rPr>
          <w:rFonts w:hint="eastAsia"/>
          <w:b/>
          <w:bCs/>
          <w:sz w:val="24"/>
          <w:szCs w:val="24"/>
        </w:rPr>
        <w:t>甲醛迁移量</w:t>
      </w:r>
      <w:r>
        <w:rPr>
          <w:rFonts w:hint="eastAsia"/>
          <w:b/>
          <w:bCs/>
          <w:sz w:val="24"/>
          <w:szCs w:val="24"/>
        </w:rPr>
        <w:t xml:space="preserve"> </w:t>
      </w:r>
      <w:r>
        <w:rPr>
          <w:rFonts w:hint="eastAsia"/>
          <w:bCs/>
          <w:sz w:val="24"/>
          <w:szCs w:val="24"/>
          <w:lang w:bidi="zh-CN"/>
        </w:rPr>
        <w:t>适用于</w:t>
      </w:r>
      <w:r>
        <w:rPr>
          <w:rFonts w:hint="eastAsia"/>
          <w:bCs/>
          <w:sz w:val="24"/>
          <w:szCs w:val="24"/>
          <w:lang w:bidi="zh-CN"/>
        </w:rPr>
        <w:t>内涂层为环氧酚醛树脂类涂料的吸入制剂用金属罐。取样品适量，加</w:t>
      </w:r>
      <w:r>
        <w:rPr>
          <w:rFonts w:hint="eastAsia"/>
          <w:bCs/>
          <w:sz w:val="24"/>
          <w:szCs w:val="24"/>
          <w:lang w:bidi="zh-CN"/>
        </w:rPr>
        <w:t>50%</w:t>
      </w:r>
      <w:r>
        <w:rPr>
          <w:rFonts w:hint="eastAsia"/>
          <w:bCs/>
          <w:sz w:val="24"/>
          <w:szCs w:val="24"/>
          <w:lang w:bidi="zh-CN"/>
        </w:rPr>
        <w:t>乙醇至标示容量，照金属涂料涂层中</w:t>
      </w:r>
      <w:r>
        <w:rPr>
          <w:rFonts w:hint="eastAsia"/>
          <w:sz w:val="24"/>
          <w:szCs w:val="24"/>
          <w:lang w:bidi="zh-CN"/>
        </w:rPr>
        <w:t>甲醛</w:t>
      </w:r>
      <w:r>
        <w:rPr>
          <w:rFonts w:hint="eastAsia"/>
          <w:bCs/>
          <w:sz w:val="24"/>
          <w:szCs w:val="24"/>
          <w:lang w:bidi="zh-CN"/>
        </w:rPr>
        <w:t>迁移量测定法（通</w:t>
      </w:r>
      <w:r>
        <w:rPr>
          <w:rFonts w:hint="eastAsia"/>
          <w:bCs/>
          <w:sz w:val="24"/>
          <w:szCs w:val="24"/>
          <w:lang w:bidi="zh-CN"/>
        </w:rPr>
        <w:t>则</w:t>
      </w:r>
      <w:r>
        <w:rPr>
          <w:rFonts w:hint="eastAsia"/>
          <w:bCs/>
          <w:sz w:val="24"/>
          <w:szCs w:val="24"/>
          <w:lang w:bidi="zh-CN"/>
        </w:rPr>
        <w:t>4254</w:t>
      </w:r>
      <w:r>
        <w:rPr>
          <w:rFonts w:hint="eastAsia"/>
          <w:bCs/>
          <w:sz w:val="24"/>
          <w:szCs w:val="24"/>
          <w:lang w:bidi="zh-CN"/>
        </w:rPr>
        <w:t>）测定，应</w:t>
      </w:r>
      <w:r>
        <w:rPr>
          <w:sz w:val="24"/>
          <w:szCs w:val="24"/>
        </w:rPr>
        <w:t>符合</w:t>
      </w:r>
      <w:r>
        <w:rPr>
          <w:rFonts w:hint="eastAsia"/>
          <w:bCs/>
          <w:sz w:val="24"/>
          <w:szCs w:val="24"/>
          <w:lang w:bidi="zh-CN"/>
        </w:rPr>
        <w:t>企业标准或质量协议的规定。</w:t>
      </w:r>
    </w:p>
    <w:p w:rsidR="00DA551E" w:rsidRDefault="0051000E">
      <w:pPr>
        <w:widowControl/>
        <w:overflowPunct w:val="0"/>
        <w:adjustRightInd w:val="0"/>
        <w:snapToGrid w:val="0"/>
        <w:spacing w:line="360" w:lineRule="auto"/>
        <w:jc w:val="left"/>
        <w:rPr>
          <w:bCs/>
          <w:sz w:val="24"/>
          <w:szCs w:val="24"/>
          <w:lang w:bidi="zh-CN"/>
        </w:rPr>
      </w:pPr>
      <w:r>
        <w:rPr>
          <w:rFonts w:hint="eastAsia"/>
          <w:b/>
          <w:bCs/>
          <w:sz w:val="24"/>
          <w:szCs w:val="24"/>
          <w:lang w:bidi="zh-CN"/>
        </w:rPr>
        <w:t xml:space="preserve">3.2.10 </w:t>
      </w:r>
      <w:r>
        <w:rPr>
          <w:rFonts w:hint="eastAsia"/>
          <w:b/>
          <w:bCs/>
          <w:sz w:val="24"/>
          <w:szCs w:val="24"/>
          <w:lang w:bidi="zh-CN"/>
        </w:rPr>
        <w:t>己内酰胺</w:t>
      </w:r>
      <w:r>
        <w:rPr>
          <w:rFonts w:hint="eastAsia"/>
          <w:b/>
          <w:bCs/>
          <w:sz w:val="24"/>
          <w:szCs w:val="24"/>
        </w:rPr>
        <w:t>迁移量</w:t>
      </w:r>
      <w:r>
        <w:rPr>
          <w:rFonts w:hint="eastAsia"/>
          <w:b/>
          <w:bCs/>
          <w:sz w:val="24"/>
          <w:szCs w:val="24"/>
        </w:rPr>
        <w:t xml:space="preserve"> </w:t>
      </w:r>
      <w:r>
        <w:rPr>
          <w:rFonts w:hint="eastAsia"/>
          <w:bCs/>
          <w:sz w:val="24"/>
          <w:szCs w:val="24"/>
          <w:lang w:bidi="zh-CN"/>
        </w:rPr>
        <w:t>适用于</w:t>
      </w:r>
      <w:r>
        <w:rPr>
          <w:rFonts w:hint="eastAsia"/>
          <w:bCs/>
          <w:sz w:val="24"/>
          <w:szCs w:val="24"/>
          <w:lang w:bidi="zh-CN"/>
        </w:rPr>
        <w:t>内涂层为</w:t>
      </w:r>
      <w:r>
        <w:rPr>
          <w:rFonts w:hint="eastAsia"/>
          <w:bCs/>
          <w:sz w:val="24"/>
          <w:szCs w:val="24"/>
          <w:lang w:bidi="zh-CN"/>
        </w:rPr>
        <w:t>聚酰胺</w:t>
      </w:r>
      <w:r>
        <w:rPr>
          <w:rFonts w:hint="eastAsia"/>
          <w:bCs/>
          <w:sz w:val="24"/>
          <w:szCs w:val="24"/>
          <w:lang w:bidi="zh-CN"/>
        </w:rPr>
        <w:t>树脂类涂料的吸入制剂用金属罐。取样品适量，加</w:t>
      </w:r>
      <w:r>
        <w:rPr>
          <w:rFonts w:hint="eastAsia"/>
          <w:bCs/>
          <w:sz w:val="24"/>
          <w:szCs w:val="24"/>
          <w:lang w:bidi="zh-CN"/>
        </w:rPr>
        <w:t>50%</w:t>
      </w:r>
      <w:r>
        <w:rPr>
          <w:rFonts w:hint="eastAsia"/>
          <w:bCs/>
          <w:sz w:val="24"/>
          <w:szCs w:val="24"/>
          <w:lang w:bidi="zh-CN"/>
        </w:rPr>
        <w:t>乙醇至标示容量，照金属涂料涂层中</w:t>
      </w:r>
      <w:r>
        <w:rPr>
          <w:rFonts w:hint="eastAsia"/>
          <w:sz w:val="24"/>
          <w:szCs w:val="24"/>
          <w:lang w:bidi="zh-CN"/>
        </w:rPr>
        <w:t>己内酰胺</w:t>
      </w:r>
      <w:r>
        <w:rPr>
          <w:rFonts w:hint="eastAsia"/>
          <w:bCs/>
          <w:sz w:val="24"/>
          <w:szCs w:val="24"/>
          <w:lang w:bidi="zh-CN"/>
        </w:rPr>
        <w:t>迁移量测定法（通则</w:t>
      </w:r>
      <w:r>
        <w:rPr>
          <w:rFonts w:hint="eastAsia"/>
          <w:bCs/>
          <w:sz w:val="24"/>
          <w:szCs w:val="24"/>
          <w:lang w:bidi="zh-CN"/>
        </w:rPr>
        <w:t>4251</w:t>
      </w:r>
      <w:r>
        <w:rPr>
          <w:rFonts w:hint="eastAsia"/>
          <w:bCs/>
          <w:sz w:val="24"/>
          <w:szCs w:val="24"/>
          <w:lang w:bidi="zh-CN"/>
        </w:rPr>
        <w:t>）测定，应</w:t>
      </w:r>
      <w:r>
        <w:rPr>
          <w:sz w:val="24"/>
          <w:szCs w:val="24"/>
        </w:rPr>
        <w:t>符合</w:t>
      </w:r>
      <w:r>
        <w:rPr>
          <w:rFonts w:hint="eastAsia"/>
          <w:bCs/>
          <w:sz w:val="24"/>
          <w:szCs w:val="24"/>
          <w:lang w:bidi="zh-CN"/>
        </w:rPr>
        <w:t>企业标准或质量协议的规定。</w:t>
      </w:r>
    </w:p>
    <w:p w:rsidR="00DA551E" w:rsidRDefault="0051000E">
      <w:pPr>
        <w:widowControl/>
        <w:overflowPunct w:val="0"/>
        <w:adjustRightInd w:val="0"/>
        <w:snapToGrid w:val="0"/>
        <w:spacing w:line="360" w:lineRule="auto"/>
        <w:jc w:val="left"/>
        <w:rPr>
          <w:bCs/>
          <w:sz w:val="24"/>
          <w:szCs w:val="24"/>
          <w:lang w:bidi="zh-CN"/>
        </w:rPr>
      </w:pPr>
      <w:r>
        <w:rPr>
          <w:rFonts w:hint="eastAsia"/>
          <w:b/>
          <w:sz w:val="24"/>
          <w:szCs w:val="24"/>
          <w:lang w:bidi="zh-CN"/>
        </w:rPr>
        <w:t xml:space="preserve">3.2.11 </w:t>
      </w:r>
      <w:r>
        <w:rPr>
          <w:rFonts w:hint="eastAsia"/>
          <w:b/>
          <w:sz w:val="24"/>
          <w:szCs w:val="24"/>
          <w:lang w:bidi="zh-CN"/>
        </w:rPr>
        <w:t>丙烯酸</w:t>
      </w:r>
      <w:r>
        <w:rPr>
          <w:rFonts w:hint="eastAsia"/>
          <w:b/>
          <w:sz w:val="24"/>
          <w:szCs w:val="24"/>
        </w:rPr>
        <w:t>迁移量</w:t>
      </w:r>
      <w:r>
        <w:rPr>
          <w:rFonts w:hint="eastAsia"/>
          <w:b/>
          <w:sz w:val="24"/>
          <w:szCs w:val="24"/>
        </w:rPr>
        <w:t xml:space="preserve"> </w:t>
      </w:r>
      <w:r>
        <w:rPr>
          <w:rFonts w:hint="eastAsia"/>
          <w:bCs/>
          <w:sz w:val="24"/>
          <w:szCs w:val="24"/>
          <w:lang w:bidi="zh-CN"/>
        </w:rPr>
        <w:t>用于内涂层为丙烯酸类涂料的吸入制剂用金属罐。取样品适量，加</w:t>
      </w:r>
      <w:r>
        <w:rPr>
          <w:rFonts w:hint="eastAsia"/>
          <w:bCs/>
          <w:sz w:val="24"/>
          <w:szCs w:val="24"/>
          <w:lang w:bidi="zh-CN"/>
        </w:rPr>
        <w:t>50%</w:t>
      </w:r>
      <w:r>
        <w:rPr>
          <w:rFonts w:hint="eastAsia"/>
          <w:bCs/>
          <w:sz w:val="24"/>
          <w:szCs w:val="24"/>
          <w:lang w:bidi="zh-CN"/>
        </w:rPr>
        <w:t>乙醇至标示容量，照金属涂料涂层中</w:t>
      </w:r>
      <w:r>
        <w:rPr>
          <w:rFonts w:hint="eastAsia"/>
          <w:sz w:val="24"/>
          <w:szCs w:val="24"/>
          <w:lang w:bidi="zh-CN"/>
        </w:rPr>
        <w:t>丙烯酸</w:t>
      </w:r>
      <w:r>
        <w:rPr>
          <w:rFonts w:hint="eastAsia"/>
          <w:bCs/>
          <w:sz w:val="24"/>
          <w:szCs w:val="24"/>
          <w:lang w:bidi="zh-CN"/>
        </w:rPr>
        <w:t>迁移量测定法（通则</w:t>
      </w:r>
      <w:r>
        <w:rPr>
          <w:rFonts w:hint="eastAsia"/>
          <w:bCs/>
          <w:sz w:val="24"/>
          <w:szCs w:val="24"/>
          <w:lang w:bidi="zh-CN"/>
        </w:rPr>
        <w:t>4252</w:t>
      </w:r>
      <w:r>
        <w:rPr>
          <w:rFonts w:hint="eastAsia"/>
          <w:bCs/>
          <w:sz w:val="24"/>
          <w:szCs w:val="24"/>
          <w:lang w:bidi="zh-CN"/>
        </w:rPr>
        <w:t>）测定，应</w:t>
      </w:r>
      <w:r>
        <w:rPr>
          <w:sz w:val="24"/>
          <w:szCs w:val="24"/>
        </w:rPr>
        <w:t>符合</w:t>
      </w:r>
      <w:r>
        <w:rPr>
          <w:rFonts w:hint="eastAsia"/>
          <w:bCs/>
          <w:sz w:val="24"/>
          <w:szCs w:val="24"/>
          <w:lang w:bidi="zh-CN"/>
        </w:rPr>
        <w:t>企业标准或质量协议的规定。</w:t>
      </w:r>
    </w:p>
    <w:p w:rsidR="00DA551E" w:rsidRDefault="0051000E">
      <w:pPr>
        <w:autoSpaceDE w:val="0"/>
        <w:autoSpaceDN w:val="0"/>
        <w:adjustRightInd w:val="0"/>
        <w:spacing w:line="360" w:lineRule="auto"/>
        <w:jc w:val="left"/>
        <w:rPr>
          <w:b/>
          <w:bCs/>
          <w:sz w:val="24"/>
          <w:szCs w:val="24"/>
        </w:rPr>
      </w:pPr>
      <w:r>
        <w:rPr>
          <w:b/>
          <w:bCs/>
          <w:sz w:val="24"/>
          <w:szCs w:val="24"/>
          <w:lang w:bidi="ar"/>
        </w:rPr>
        <w:t xml:space="preserve">4 </w:t>
      </w:r>
      <w:r>
        <w:rPr>
          <w:b/>
          <w:bCs/>
          <w:sz w:val="24"/>
          <w:szCs w:val="24"/>
          <w:lang w:bidi="ar"/>
        </w:rPr>
        <w:t>包装与贮藏</w:t>
      </w:r>
    </w:p>
    <w:p w:rsidR="00DA551E" w:rsidRDefault="00DA486A" w:rsidP="00DA486A">
      <w:pPr>
        <w:spacing w:line="360" w:lineRule="auto"/>
        <w:ind w:firstLineChars="200" w:firstLine="420"/>
        <w:rPr>
          <w:rFonts w:hint="eastAsia"/>
          <w:sz w:val="24"/>
          <w:szCs w:val="24"/>
          <w:lang w:bidi="ar"/>
        </w:rPr>
      </w:pPr>
      <w:r>
        <w:rPr>
          <w:noProof/>
        </w:rPr>
        <mc:AlternateContent>
          <mc:Choice Requires="wps">
            <w:drawing>
              <wp:anchor distT="0" distB="0" distL="114300" distR="114300" simplePos="0" relativeHeight="251658752" behindDoc="0" locked="0" layoutInCell="1" allowOverlap="1">
                <wp:simplePos x="0" y="0"/>
                <wp:positionH relativeFrom="column">
                  <wp:posOffset>3810</wp:posOffset>
                </wp:positionH>
                <wp:positionV relativeFrom="paragraph">
                  <wp:posOffset>1128395</wp:posOffset>
                </wp:positionV>
                <wp:extent cx="5234940" cy="15240"/>
                <wp:effectExtent l="0" t="4445" r="3810" b="889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a:effectLst/>
                      </wps:spPr>
                      <wps:bodyPr/>
                    </wps:wsp>
                  </a:graphicData>
                </a:graphic>
              </wp:anchor>
            </w:drawing>
          </mc:Choice>
          <mc:Fallback>
            <w:pict>
              <v:shapetype w14:anchorId="4CFF50B0" id="_x0000_t32" coordsize="21600,21600" o:spt="32" o:oned="t" path="m,l21600,21600e" filled="f">
                <v:path arrowok="t" fillok="f" o:connecttype="none"/>
                <o:lock v:ext="edit" shapetype="t"/>
              </v:shapetype>
              <v:shape id="直接箭头连接符 1" o:spid="_x0000_s1026" type="#_x0000_t32" style="position:absolute;left:0;text-align:left;margin-left:.3pt;margin-top:88.85pt;width:412.2pt;height:1.2pt;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"/>
            </w:pict>
          </mc:Fallback>
        </mc:AlternateContent>
      </w:r>
      <w:r w:rsidR="0051000E">
        <w:rPr>
          <w:sz w:val="24"/>
          <w:szCs w:val="24"/>
          <w:lang w:bidi="ar"/>
        </w:rPr>
        <w:t>吸入气雾剂用金属罐的符合包装材料应药品包装的相关要求，包装应密封完整，包装整体需满足运输和贮藏过程的保护性能要求，以及药品、药包材生产质量管理要求。宜保存于干燥、清洁、通风处，</w:t>
      </w:r>
      <w:r w:rsidR="0051000E">
        <w:rPr>
          <w:rFonts w:hint="eastAsia"/>
          <w:sz w:val="24"/>
          <w:szCs w:val="24"/>
          <w:lang w:bidi="ar"/>
        </w:rPr>
        <w:t>防止阳光直晒，不得挤压、不得重压。</w:t>
      </w:r>
    </w:p>
    <w:p w:rsidR="00DA551E" w:rsidRDefault="0051000E">
      <w:pPr>
        <w:pStyle w:val="a6"/>
        <w:suppressLineNumbers/>
        <w:spacing w:line="360" w:lineRule="auto"/>
        <w:rPr>
          <w:rFonts w:ascii="Times New Roman" w:eastAsia="方正公文黑体" w:hAnsi="Times New Roman" w:cs="Times New Roman"/>
          <w:b/>
          <w:bCs/>
          <w:sz w:val="28"/>
          <w:szCs w:val="28"/>
        </w:rPr>
      </w:pPr>
      <w:r>
        <w:rPr>
          <w:rFonts w:ascii="Times New Roman" w:hAnsi="Times New Roman" w:cs="Times New Roman"/>
          <w:sz w:val="24"/>
          <w:szCs w:val="24"/>
        </w:rPr>
        <w:t>起草单位：上海市食品药品包装材料测试所</w:t>
      </w:r>
      <w:r>
        <w:rPr>
          <w:rFonts w:ascii="Times New Roman" w:hAnsi="Times New Roman" w:cs="Times New Roman" w:hint="eastAsia"/>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苏州工业园区汇毓医药包装技术研究院</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联系电话：</w:t>
      </w:r>
      <w:r>
        <w:rPr>
          <w:rFonts w:ascii="Times New Roman" w:hAnsi="Times New Roman" w:cs="Times New Roman"/>
          <w:sz w:val="24"/>
          <w:szCs w:val="24"/>
        </w:rPr>
        <w:t>021-507982</w:t>
      </w:r>
      <w:r>
        <w:rPr>
          <w:rFonts w:ascii="Times New Roman" w:hAnsi="Times New Roman" w:cs="Times New Roman" w:hint="eastAsia"/>
          <w:sz w:val="24"/>
          <w:szCs w:val="24"/>
        </w:rPr>
        <w:t>35</w:t>
      </w:r>
      <w:r>
        <w:rPr>
          <w:rFonts w:ascii="Times New Roman" w:hAnsi="Times New Roman" w:cs="Times New Roman"/>
          <w:sz w:val="24"/>
          <w:szCs w:val="24"/>
        </w:rPr>
        <w:t>参与单位：山东省医疗器械和药品包装检验研究院，浙江省食品药品检验研究院，上海佳田药用包装有限公司，</w:t>
      </w:r>
      <w:r>
        <w:rPr>
          <w:rFonts w:ascii="Times New Roman" w:eastAsia="sans-serif" w:hAnsi="Times New Roman" w:cs="Times New Roman"/>
          <w:color w:val="000000"/>
          <w:sz w:val="24"/>
          <w:szCs w:val="24"/>
          <w:shd w:val="clear" w:color="auto" w:fill="FFFFFF"/>
        </w:rPr>
        <w:t> H&amp;T</w:t>
      </w:r>
      <w:r>
        <w:rPr>
          <w:rFonts w:ascii="Times New Roman" w:eastAsia="sans-serif" w:hAnsi="Times New Roman" w:cs="Times New Roman"/>
          <w:color w:val="000000"/>
          <w:sz w:val="24"/>
          <w:szCs w:val="24"/>
          <w:shd w:val="clear" w:color="auto" w:fill="FFFFFF"/>
        </w:rPr>
        <w:t xml:space="preserve"> </w:t>
      </w:r>
      <w:proofErr w:type="spellStart"/>
      <w:r>
        <w:rPr>
          <w:rFonts w:ascii="Times New Roman" w:eastAsia="sans-serif" w:hAnsi="Times New Roman" w:cs="Times New Roman"/>
          <w:color w:val="000000"/>
          <w:sz w:val="24"/>
          <w:szCs w:val="24"/>
          <w:shd w:val="clear" w:color="auto" w:fill="FFFFFF"/>
        </w:rPr>
        <w:t>Presspart</w:t>
      </w:r>
      <w:proofErr w:type="spellEnd"/>
      <w:r>
        <w:rPr>
          <w:rFonts w:ascii="Times New Roman" w:hAnsi="Times New Roman" w:cs="Times New Roman"/>
          <w:sz w:val="24"/>
          <w:szCs w:val="24"/>
        </w:rPr>
        <w:t>，上海</w:t>
      </w:r>
      <w:r>
        <w:rPr>
          <w:rFonts w:ascii="Times New Roman" w:hAnsi="Times New Roman" w:cs="Times New Roman" w:hint="eastAsia"/>
          <w:sz w:val="24"/>
          <w:szCs w:val="24"/>
        </w:rPr>
        <w:t>上药</w:t>
      </w:r>
      <w:r>
        <w:rPr>
          <w:rFonts w:ascii="Times New Roman" w:hAnsi="Times New Roman" w:cs="Times New Roman"/>
          <w:sz w:val="24"/>
          <w:szCs w:val="24"/>
        </w:rPr>
        <w:t>信谊</w:t>
      </w:r>
      <w:r>
        <w:rPr>
          <w:rFonts w:ascii="Times New Roman" w:hAnsi="Times New Roman" w:cs="Times New Roman" w:hint="eastAsia"/>
          <w:sz w:val="24"/>
          <w:szCs w:val="24"/>
        </w:rPr>
        <w:t>药厂有限公司</w:t>
      </w:r>
      <w:r>
        <w:rPr>
          <w:rFonts w:ascii="Times New Roman" w:hAnsi="Times New Roman" w:cs="Times New Roman"/>
          <w:sz w:val="24"/>
          <w:szCs w:val="24"/>
        </w:rPr>
        <w:t>，艾诺曼帝</w:t>
      </w:r>
      <w:r>
        <w:rPr>
          <w:rFonts w:ascii="Times New Roman" w:hAnsi="Times New Roman" w:cs="Times New Roman"/>
          <w:sz w:val="24"/>
          <w:szCs w:val="24"/>
        </w:rPr>
        <w:t>(</w:t>
      </w:r>
      <w:r>
        <w:rPr>
          <w:rFonts w:ascii="Times New Roman" w:hAnsi="Times New Roman" w:cs="Times New Roman"/>
          <w:sz w:val="24"/>
          <w:szCs w:val="24"/>
        </w:rPr>
        <w:t>苏州</w:t>
      </w:r>
      <w:r>
        <w:rPr>
          <w:rFonts w:ascii="Times New Roman" w:hAnsi="Times New Roman" w:cs="Times New Roman"/>
          <w:sz w:val="24"/>
          <w:szCs w:val="24"/>
        </w:rPr>
        <w:t>)</w:t>
      </w:r>
      <w:r>
        <w:rPr>
          <w:rFonts w:ascii="Times New Roman" w:hAnsi="Times New Roman" w:cs="Times New Roman"/>
          <w:sz w:val="24"/>
          <w:szCs w:val="24"/>
        </w:rPr>
        <w:t>金属包装有限公司，</w:t>
      </w:r>
      <w:proofErr w:type="gramStart"/>
      <w:r>
        <w:rPr>
          <w:rFonts w:ascii="Times New Roman" w:hAnsi="Times New Roman" w:cs="Times New Roman"/>
          <w:sz w:val="24"/>
          <w:szCs w:val="24"/>
        </w:rPr>
        <w:t>泛卡医药</w:t>
      </w:r>
      <w:proofErr w:type="gramEnd"/>
      <w:r>
        <w:rPr>
          <w:rFonts w:ascii="Times New Roman" w:hAnsi="Times New Roman" w:cs="Times New Roman"/>
          <w:sz w:val="24"/>
          <w:szCs w:val="24"/>
        </w:rPr>
        <w:t>科技（上海）有限公司</w:t>
      </w:r>
      <w:r>
        <w:rPr>
          <w:rFonts w:ascii="Times New Roman" w:eastAsia="方正公文黑体" w:hAnsi="Times New Roman" w:cs="Times New Roman"/>
          <w:b/>
          <w:bCs/>
          <w:sz w:val="28"/>
          <w:szCs w:val="28"/>
        </w:rPr>
        <w:br w:type="page"/>
      </w:r>
      <w:bookmarkStart w:id="0" w:name="_GoBack"/>
      <w:bookmarkEnd w:id="0"/>
    </w:p>
    <w:p w:rsidR="00DA551E" w:rsidRDefault="00DA551E">
      <w:pPr>
        <w:pStyle w:val="a6"/>
        <w:suppressLineNumbers/>
        <w:spacing w:line="360" w:lineRule="auto"/>
        <w:jc w:val="center"/>
        <w:rPr>
          <w:rFonts w:ascii="Times New Roman" w:eastAsia="方正公文黑体" w:hAnsi="Times New Roman" w:cs="Times New Roman"/>
          <w:b/>
          <w:bCs/>
          <w:sz w:val="28"/>
          <w:szCs w:val="28"/>
        </w:rPr>
        <w:sectPr w:rsidR="00DA551E">
          <w:headerReference w:type="default" r:id="rId8"/>
          <w:pgSz w:w="11900" w:h="16840"/>
          <w:pgMar w:top="1440" w:right="1800" w:bottom="1440" w:left="1800" w:header="1134" w:footer="855" w:gutter="0"/>
          <w:lnNumType w:countBy="1" w:restart="continuous"/>
          <w:cols w:space="720"/>
          <w:docGrid w:linePitch="286"/>
        </w:sectPr>
      </w:pPr>
    </w:p>
    <w:p w:rsidR="00DA551E" w:rsidRDefault="0051000E">
      <w:pPr>
        <w:pStyle w:val="a6"/>
        <w:suppressLineNumbers/>
        <w:spacing w:line="360" w:lineRule="auto"/>
        <w:jc w:val="center"/>
        <w:rPr>
          <w:rFonts w:ascii="Times New Roman" w:eastAsia="方正公文黑体" w:hAnsi="Times New Roman" w:cs="Times New Roman"/>
          <w:b/>
          <w:bCs/>
          <w:sz w:val="28"/>
          <w:szCs w:val="28"/>
        </w:rPr>
      </w:pPr>
      <w:r>
        <w:rPr>
          <w:rFonts w:hAnsi="宋体" w:hint="eastAsia"/>
          <w:b/>
          <w:bCs/>
          <w:sz w:val="28"/>
          <w:szCs w:val="28"/>
        </w:rPr>
        <w:lastRenderedPageBreak/>
        <w:t>吸入气雾剂</w:t>
      </w:r>
      <w:r>
        <w:rPr>
          <w:rFonts w:ascii="___WRD_EMBED_SUB_41" w:eastAsia="___WRD_EMBED_SUB_41" w:hAnsi="___WRD_EMBED_SUB_41" w:cs="___WRD_EMBED_SUB_41" w:hint="eastAsia"/>
          <w:b/>
          <w:bCs/>
          <w:sz w:val="28"/>
          <w:szCs w:val="28"/>
        </w:rPr>
        <w:t>用金属</w:t>
      </w:r>
      <w:r>
        <w:rPr>
          <w:rFonts w:hAnsi="宋体" w:hint="eastAsia"/>
          <w:b/>
          <w:bCs/>
          <w:sz w:val="28"/>
          <w:szCs w:val="28"/>
        </w:rPr>
        <w:t>罐</w:t>
      </w:r>
      <w:r>
        <w:rPr>
          <w:rFonts w:ascii="___WRD_EMBED_SUB_41" w:eastAsia="___WRD_EMBED_SUB_41" w:hAnsi="___WRD_EMBED_SUB_41" w:cs="___WRD_EMBED_SUB_41" w:hint="eastAsia"/>
          <w:b/>
          <w:bCs/>
          <w:sz w:val="28"/>
          <w:szCs w:val="28"/>
        </w:rPr>
        <w:t>通则</w:t>
      </w:r>
      <w:r>
        <w:rPr>
          <w:rFonts w:hAnsi="宋体" w:hint="eastAsia"/>
          <w:b/>
          <w:bCs/>
          <w:sz w:val="28"/>
          <w:szCs w:val="28"/>
        </w:rPr>
        <w:t>起草说明</w:t>
      </w:r>
    </w:p>
    <w:p w:rsidR="00DA551E" w:rsidRDefault="0051000E">
      <w:pPr>
        <w:pStyle w:val="a5"/>
        <w:numPr>
          <w:ilvl w:val="0"/>
          <w:numId w:val="1"/>
        </w:numPr>
        <w:suppressLineNumbers/>
        <w:kinsoku w:val="0"/>
        <w:overflowPunct w:val="0"/>
        <w:spacing w:line="360" w:lineRule="auto"/>
        <w:ind w:left="0"/>
        <w:jc w:val="left"/>
        <w:rPr>
          <w:b/>
          <w:bCs/>
          <w:lang w:val="en-US" w:bidi="ar-SA"/>
        </w:rPr>
      </w:pPr>
      <w:r>
        <w:rPr>
          <w:b/>
          <w:bCs/>
          <w:lang w:val="en-US" w:bidi="ar-SA"/>
        </w:rPr>
        <w:t>制修订的总体思路</w:t>
      </w:r>
    </w:p>
    <w:p w:rsidR="00DA551E" w:rsidRDefault="0051000E">
      <w:pPr>
        <w:pStyle w:val="a5"/>
        <w:suppressLineNumbers/>
        <w:tabs>
          <w:tab w:val="left" w:pos="580"/>
        </w:tabs>
        <w:spacing w:line="360" w:lineRule="auto"/>
        <w:ind w:right="100" w:firstLineChars="200" w:firstLine="480"/>
        <w:jc w:val="left"/>
        <w:rPr>
          <w:rFonts w:ascii="Times New Roman" w:hAnsi="Times New Roman" w:cs="Times New Roman"/>
          <w:kern w:val="0"/>
          <w:lang w:val="en-US" w:bidi="ar-SA"/>
        </w:rPr>
      </w:pPr>
      <w:r>
        <w:rPr>
          <w:rFonts w:ascii="Times New Roman" w:hAnsi="Times New Roman" w:cs="Times New Roman"/>
          <w:kern w:val="0"/>
          <w:lang w:val="en-US" w:bidi="ar-SA"/>
        </w:rPr>
        <w:t>根据《中国药典》药包</w:t>
      </w:r>
      <w:proofErr w:type="gramStart"/>
      <w:r>
        <w:rPr>
          <w:rFonts w:ascii="Times New Roman" w:hAnsi="Times New Roman" w:cs="Times New Roman"/>
          <w:kern w:val="0"/>
          <w:lang w:val="en-US" w:bidi="ar-SA"/>
        </w:rPr>
        <w:t>材标准</w:t>
      </w:r>
      <w:proofErr w:type="gramEnd"/>
      <w:r>
        <w:rPr>
          <w:rFonts w:ascii="Times New Roman" w:hAnsi="Times New Roman" w:cs="Times New Roman"/>
          <w:kern w:val="0"/>
          <w:lang w:val="en-US" w:bidi="ar-SA"/>
        </w:rPr>
        <w:t>体系框架设计要求，主要参考</w:t>
      </w:r>
      <w:r>
        <w:rPr>
          <w:rFonts w:ascii="Times New Roman" w:hAnsi="Times New Roman" w:cs="Times New Roman"/>
          <w:kern w:val="0"/>
          <w:lang w:val="en-US" w:bidi="ar-SA"/>
        </w:rPr>
        <w:t>GB25164-2010 25.4mm</w:t>
      </w:r>
      <w:r>
        <w:rPr>
          <w:rFonts w:ascii="Times New Roman" w:hAnsi="Times New Roman" w:cs="Times New Roman"/>
          <w:kern w:val="0"/>
          <w:lang w:val="en-US" w:bidi="ar-SA"/>
        </w:rPr>
        <w:t>口径铝气雾罐、</w:t>
      </w:r>
      <w:r>
        <w:rPr>
          <w:rFonts w:ascii="Times New Roman" w:hAnsi="Times New Roman" w:cs="Times New Roman"/>
          <w:kern w:val="0"/>
          <w:lang w:val="en-US" w:bidi="ar-SA"/>
        </w:rPr>
        <w:t xml:space="preserve"> GB 13042-2008 </w:t>
      </w:r>
      <w:r>
        <w:rPr>
          <w:rFonts w:ascii="Times New Roman" w:hAnsi="Times New Roman" w:cs="Times New Roman"/>
          <w:kern w:val="0"/>
          <w:lang w:val="en-US" w:bidi="ar-SA"/>
        </w:rPr>
        <w:t>包装容器</w:t>
      </w:r>
      <w:r>
        <w:rPr>
          <w:rFonts w:ascii="Times New Roman" w:hAnsi="Times New Roman" w:cs="Times New Roman"/>
          <w:kern w:val="0"/>
          <w:lang w:val="en-US" w:bidi="ar-SA"/>
        </w:rPr>
        <w:t xml:space="preserve"> </w:t>
      </w:r>
      <w:r>
        <w:rPr>
          <w:rFonts w:ascii="Times New Roman" w:hAnsi="Times New Roman" w:cs="Times New Roman"/>
          <w:kern w:val="0"/>
          <w:lang w:val="en-US" w:bidi="ar-SA"/>
        </w:rPr>
        <w:t>铁质气雾罐、</w:t>
      </w:r>
      <w:r>
        <w:rPr>
          <w:rFonts w:ascii="Times New Roman" w:hAnsi="Times New Roman" w:cs="Times New Roman"/>
          <w:kern w:val="0"/>
          <w:lang w:val="en-US" w:bidi="ar-SA"/>
        </w:rPr>
        <w:t xml:space="preserve">BB/T 0006—2014 </w:t>
      </w:r>
      <w:r>
        <w:rPr>
          <w:rFonts w:ascii="Times New Roman" w:hAnsi="Times New Roman" w:cs="Times New Roman"/>
          <w:kern w:val="0"/>
          <w:lang w:val="en-US" w:bidi="ar-SA"/>
        </w:rPr>
        <w:t>包装容器</w:t>
      </w:r>
      <w:r>
        <w:rPr>
          <w:rFonts w:ascii="Times New Roman" w:hAnsi="Times New Roman" w:cs="Times New Roman"/>
          <w:kern w:val="0"/>
          <w:lang w:val="en-US" w:bidi="ar-SA"/>
        </w:rPr>
        <w:t>20mm</w:t>
      </w:r>
      <w:r>
        <w:rPr>
          <w:rFonts w:ascii="Times New Roman" w:hAnsi="Times New Roman" w:cs="Times New Roman"/>
          <w:kern w:val="0"/>
          <w:lang w:val="en-US" w:bidi="ar-SA"/>
        </w:rPr>
        <w:t>口径铝气雾罐、</w:t>
      </w:r>
      <w:r>
        <w:rPr>
          <w:rFonts w:ascii="Times New Roman" w:hAnsi="Times New Roman" w:cs="Times New Roman"/>
          <w:kern w:val="0"/>
          <w:lang w:val="en-US" w:bidi="ar-SA"/>
        </w:rPr>
        <w:t xml:space="preserve"> </w:t>
      </w:r>
      <w:r>
        <w:rPr>
          <w:rFonts w:ascii="Times New Roman" w:hAnsi="Times New Roman" w:cs="Times New Roman"/>
          <w:kern w:val="0"/>
          <w:lang w:val="en-US" w:bidi="ar-SA"/>
        </w:rPr>
        <w:t>欧洲气雾剂联合会</w:t>
      </w:r>
      <w:r>
        <w:rPr>
          <w:rFonts w:ascii="Times New Roman" w:hAnsi="Times New Roman" w:cs="Times New Roman"/>
          <w:kern w:val="0"/>
          <w:lang w:val="en-US" w:bidi="ar-SA"/>
        </w:rPr>
        <w:t xml:space="preserve">FEA </w:t>
      </w:r>
      <w:r>
        <w:rPr>
          <w:rFonts w:ascii="Times New Roman" w:hAnsi="Times New Roman" w:cs="Times New Roman"/>
          <w:kern w:val="0"/>
          <w:lang w:val="en-US" w:bidi="ar-SA"/>
        </w:rPr>
        <w:t>系列标准、</w:t>
      </w:r>
      <w:r>
        <w:rPr>
          <w:rFonts w:ascii="Times New Roman" w:hAnsi="Times New Roman" w:cs="Times New Roman"/>
          <w:kern w:val="0"/>
          <w:lang w:val="en-US" w:bidi="ar-SA"/>
        </w:rPr>
        <w:t xml:space="preserve"> </w:t>
      </w:r>
      <w:r>
        <w:rPr>
          <w:rFonts w:ascii="Times New Roman" w:hAnsi="Times New Roman" w:cs="Times New Roman"/>
          <w:kern w:val="0"/>
          <w:lang w:val="en-US" w:bidi="ar-SA"/>
        </w:rPr>
        <w:t>GB4806.9</w:t>
      </w:r>
      <w:r>
        <w:rPr>
          <w:rFonts w:ascii="Times New Roman" w:hAnsi="Times New Roman" w:cs="Times New Roman"/>
          <w:kern w:val="0"/>
          <w:lang w:val="en-US" w:bidi="ar-SA"/>
        </w:rPr>
        <w:t>食品安全国家标准食品接触用金属材料及制品、</w:t>
      </w:r>
      <w:r>
        <w:rPr>
          <w:rFonts w:ascii="Times New Roman" w:hAnsi="Times New Roman" w:cs="Times New Roman"/>
          <w:kern w:val="0"/>
          <w:lang w:val="en-US" w:bidi="ar-SA"/>
        </w:rPr>
        <w:t>GB4806.10</w:t>
      </w:r>
      <w:r>
        <w:rPr>
          <w:rFonts w:ascii="Times New Roman" w:hAnsi="Times New Roman" w:cs="Times New Roman"/>
          <w:kern w:val="0"/>
          <w:lang w:val="en-US" w:bidi="ar-SA"/>
        </w:rPr>
        <w:t>食品安全国家标准</w:t>
      </w:r>
      <w:r>
        <w:rPr>
          <w:rFonts w:ascii="Times New Roman" w:hAnsi="Times New Roman" w:cs="Times New Roman"/>
          <w:kern w:val="0"/>
          <w:lang w:val="en-US" w:bidi="ar-SA"/>
        </w:rPr>
        <w:t xml:space="preserve"> </w:t>
      </w:r>
      <w:r>
        <w:rPr>
          <w:rFonts w:ascii="Times New Roman" w:hAnsi="Times New Roman" w:cs="Times New Roman"/>
          <w:kern w:val="0"/>
          <w:lang w:val="en-US" w:bidi="ar-SA"/>
        </w:rPr>
        <w:t>食品接触用涂料及涂层等标准，聚焦安全、满足应用需求</w:t>
      </w:r>
      <w:r>
        <w:rPr>
          <w:rFonts w:ascii="Times New Roman" w:hAnsi="Times New Roman" w:cs="Times New Roman" w:hint="eastAsia"/>
          <w:kern w:val="0"/>
          <w:lang w:val="en-US" w:bidi="ar-SA"/>
        </w:rPr>
        <w:t>，</w:t>
      </w:r>
      <w:r>
        <w:rPr>
          <w:rFonts w:ascii="Times New Roman" w:hAnsi="Times New Roman" w:cs="Times New Roman"/>
          <w:kern w:val="0"/>
          <w:lang w:val="en-US" w:bidi="ar-SA"/>
        </w:rPr>
        <w:t>在充分考虑国内外标准优缺点的基础上</w:t>
      </w:r>
      <w:r>
        <w:rPr>
          <w:rFonts w:ascii="Times New Roman" w:hAnsi="Times New Roman" w:cs="Times New Roman" w:hint="eastAsia"/>
          <w:kern w:val="0"/>
          <w:lang w:val="en-US" w:bidi="ar-SA"/>
        </w:rPr>
        <w:t>，</w:t>
      </w:r>
      <w:r>
        <w:rPr>
          <w:rFonts w:ascii="Times New Roman" w:hAnsi="Times New Roman" w:cs="Times New Roman"/>
          <w:kern w:val="0"/>
          <w:lang w:val="en-US" w:bidi="ar-SA"/>
        </w:rPr>
        <w:t>同时广泛调研企业在实际中实际使用的产品标准及质量控制情况，结合试验验证情况的实践经验，制定本通则。</w:t>
      </w:r>
    </w:p>
    <w:p w:rsidR="00DA551E" w:rsidRDefault="0051000E">
      <w:pPr>
        <w:pStyle w:val="a5"/>
        <w:numPr>
          <w:ilvl w:val="0"/>
          <w:numId w:val="1"/>
        </w:numPr>
        <w:suppressLineNumbers/>
        <w:kinsoku w:val="0"/>
        <w:overflowPunct w:val="0"/>
        <w:spacing w:line="360" w:lineRule="auto"/>
        <w:ind w:left="0"/>
        <w:jc w:val="left"/>
        <w:rPr>
          <w:rFonts w:ascii="Times New Roman" w:eastAsia="黑体" w:hAnsi="Times New Roman" w:cs="Times New Roman"/>
          <w:b/>
          <w:bCs/>
          <w:lang w:val="en-US" w:bidi="ar-SA"/>
        </w:rPr>
      </w:pPr>
      <w:r>
        <w:rPr>
          <w:b/>
          <w:bCs/>
          <w:lang w:val="en-US" w:bidi="ar-SA"/>
        </w:rPr>
        <w:t>标准项目情况</w:t>
      </w:r>
    </w:p>
    <w:tbl>
      <w:tblPr>
        <w:tblStyle w:val="af4"/>
        <w:tblW w:w="8572" w:type="dxa"/>
        <w:tblInd w:w="18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3"/>
        <w:gridCol w:w="5959"/>
      </w:tblGrid>
      <w:tr w:rsidR="00DA551E">
        <w:trPr>
          <w:trHeight w:val="292"/>
        </w:trPr>
        <w:tc>
          <w:tcPr>
            <w:tcW w:w="2613" w:type="dxa"/>
            <w:tcBorders>
              <w:bottom w:val="single" w:sz="4" w:space="0" w:color="auto"/>
            </w:tcBorders>
            <w:vAlign w:val="center"/>
          </w:tcPr>
          <w:p w:rsidR="00DA551E" w:rsidRDefault="0051000E">
            <w:pPr>
              <w:pStyle w:val="af1"/>
              <w:spacing w:line="360" w:lineRule="auto"/>
              <w:jc w:val="center"/>
              <w:rPr>
                <w:rFonts w:ascii="Times New Roman" w:eastAsia="黑体" w:hAnsi="Times New Roman" w:cs="Times New Roman"/>
                <w:b/>
                <w:bCs/>
                <w:kern w:val="2"/>
                <w:sz w:val="21"/>
                <w:szCs w:val="21"/>
              </w:rPr>
            </w:pPr>
            <w:r>
              <w:rPr>
                <w:rFonts w:ascii="Times New Roman" w:hAnsi="Times New Roman" w:cs="Times New Roman"/>
                <w:b/>
                <w:bCs/>
                <w:color w:val="000000"/>
                <w:sz w:val="21"/>
                <w:szCs w:val="21"/>
              </w:rPr>
              <w:t>3.2</w:t>
            </w:r>
            <w:r>
              <w:rPr>
                <w:rFonts w:ascii="Times New Roman" w:hAnsi="Times New Roman" w:cs="Times New Roman"/>
                <w:b/>
                <w:bCs/>
                <w:color w:val="000000"/>
                <w:sz w:val="21"/>
                <w:szCs w:val="21"/>
              </w:rPr>
              <w:t>质量控制</w:t>
            </w:r>
          </w:p>
        </w:tc>
        <w:tc>
          <w:tcPr>
            <w:tcW w:w="5959" w:type="dxa"/>
            <w:tcBorders>
              <w:bottom w:val="single" w:sz="4" w:space="0" w:color="auto"/>
            </w:tcBorders>
            <w:vAlign w:val="center"/>
          </w:tcPr>
          <w:p w:rsidR="00DA551E" w:rsidRDefault="0051000E">
            <w:pPr>
              <w:pStyle w:val="af1"/>
              <w:spacing w:line="360" w:lineRule="auto"/>
              <w:jc w:val="center"/>
              <w:rPr>
                <w:rFonts w:ascii="Times New Roman" w:eastAsia="黑体" w:hAnsi="Times New Roman" w:cs="Times New Roman"/>
                <w:b/>
                <w:bCs/>
                <w:kern w:val="2"/>
                <w:sz w:val="21"/>
                <w:szCs w:val="21"/>
              </w:rPr>
            </w:pPr>
            <w:r>
              <w:rPr>
                <w:rFonts w:ascii="Times New Roman" w:hAnsi="Times New Roman" w:cs="Times New Roman"/>
                <w:b/>
                <w:bCs/>
                <w:color w:val="000000"/>
                <w:sz w:val="21"/>
                <w:szCs w:val="21"/>
              </w:rPr>
              <w:t>备注</w:t>
            </w:r>
          </w:p>
        </w:tc>
      </w:tr>
      <w:tr w:rsidR="00DA551E">
        <w:trPr>
          <w:trHeight w:val="292"/>
        </w:trPr>
        <w:tc>
          <w:tcPr>
            <w:tcW w:w="2613" w:type="dxa"/>
            <w:tcBorders>
              <w:top w:val="single" w:sz="4" w:space="0" w:color="auto"/>
              <w:tl2br w:val="nil"/>
              <w:tr2bl w:val="nil"/>
            </w:tcBorders>
            <w:vAlign w:val="center"/>
          </w:tcPr>
          <w:p w:rsidR="00DA551E" w:rsidRDefault="0051000E">
            <w:pPr>
              <w:pStyle w:val="af1"/>
              <w:spacing w:line="360" w:lineRule="auto"/>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3.2.1 </w:t>
            </w:r>
            <w:r>
              <w:rPr>
                <w:rFonts w:ascii="Times New Roman" w:hAnsi="Times New Roman" w:cs="Times New Roman"/>
                <w:color w:val="000000"/>
                <w:sz w:val="21"/>
                <w:szCs w:val="21"/>
              </w:rPr>
              <w:t>外观</w:t>
            </w:r>
          </w:p>
        </w:tc>
        <w:tc>
          <w:tcPr>
            <w:tcW w:w="5959" w:type="dxa"/>
            <w:tcBorders>
              <w:top w:val="single" w:sz="4" w:space="0" w:color="auto"/>
              <w:tl2br w:val="nil"/>
              <w:tr2bl w:val="nil"/>
            </w:tcBorders>
            <w:vAlign w:val="center"/>
          </w:tcPr>
          <w:p w:rsidR="00DA551E" w:rsidRDefault="0051000E">
            <w:pPr>
              <w:pStyle w:val="af1"/>
              <w:spacing w:line="360" w:lineRule="auto"/>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整合、目视</w:t>
            </w:r>
          </w:p>
        </w:tc>
      </w:tr>
      <w:tr w:rsidR="00DA551E">
        <w:trPr>
          <w:trHeight w:val="292"/>
        </w:trPr>
        <w:tc>
          <w:tcPr>
            <w:tcW w:w="2613"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3.2.2</w:t>
            </w:r>
            <w:r>
              <w:rPr>
                <w:rFonts w:ascii="Times New Roman" w:hAnsi="Times New Roman" w:cs="Times New Roman"/>
                <w:kern w:val="2"/>
                <w:sz w:val="21"/>
                <w:szCs w:val="21"/>
                <w:lang w:val="zh-CN" w:bidi="zh-CN"/>
              </w:rPr>
              <w:t>容器重量</w:t>
            </w:r>
          </w:p>
        </w:tc>
        <w:tc>
          <w:tcPr>
            <w:tcW w:w="5959"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kern w:val="2"/>
                <w:sz w:val="21"/>
                <w:szCs w:val="21"/>
                <w:lang w:val="zh-CN" w:bidi="zh-CN"/>
              </w:rPr>
              <w:t>容器重量</w:t>
            </w:r>
          </w:p>
        </w:tc>
      </w:tr>
      <w:tr w:rsidR="00DA551E">
        <w:trPr>
          <w:trHeight w:val="201"/>
        </w:trPr>
        <w:tc>
          <w:tcPr>
            <w:tcW w:w="2613" w:type="dxa"/>
            <w:tcBorders>
              <w:tl2br w:val="nil"/>
              <w:tr2bl w:val="nil"/>
            </w:tcBorders>
            <w:vAlign w:val="center"/>
          </w:tcPr>
          <w:p w:rsidR="00DA551E" w:rsidRDefault="0051000E">
            <w:pPr>
              <w:pStyle w:val="af1"/>
              <w:spacing w:line="360" w:lineRule="auto"/>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3.2.3</w:t>
            </w:r>
            <w:r>
              <w:rPr>
                <w:rFonts w:ascii="Times New Roman" w:hAnsi="Times New Roman" w:cs="Times New Roman"/>
                <w:color w:val="000000"/>
                <w:sz w:val="21"/>
                <w:szCs w:val="21"/>
              </w:rPr>
              <w:t>金属罐耐压性能</w:t>
            </w:r>
          </w:p>
        </w:tc>
        <w:tc>
          <w:tcPr>
            <w:tcW w:w="5959" w:type="dxa"/>
            <w:tcBorders>
              <w:tl2br w:val="nil"/>
              <w:tr2bl w:val="nil"/>
            </w:tcBorders>
            <w:vAlign w:val="center"/>
          </w:tcPr>
          <w:p w:rsidR="00DA551E" w:rsidRDefault="0051000E">
            <w:pPr>
              <w:pStyle w:val="af1"/>
              <w:spacing w:line="360" w:lineRule="auto"/>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参考</w:t>
            </w:r>
            <w:r>
              <w:rPr>
                <w:rFonts w:ascii="Times New Roman" w:hAnsi="Times New Roman" w:cs="Times New Roman"/>
                <w:color w:val="000000"/>
                <w:sz w:val="21"/>
                <w:szCs w:val="21"/>
              </w:rPr>
              <w:t>GB/T 25164-2010</w:t>
            </w:r>
            <w:r>
              <w:rPr>
                <w:rFonts w:ascii="Times New Roman" w:hAnsi="Times New Roman" w:cs="Times New Roman"/>
                <w:color w:val="000000"/>
                <w:sz w:val="21"/>
                <w:szCs w:val="21"/>
              </w:rPr>
              <w:t>《包装容器</w:t>
            </w:r>
            <w:r>
              <w:rPr>
                <w:rFonts w:ascii="Times New Roman" w:hAnsi="Times New Roman" w:cs="Times New Roman"/>
                <w:color w:val="000000"/>
                <w:sz w:val="21"/>
                <w:szCs w:val="21"/>
              </w:rPr>
              <w:t> 25.4mm</w:t>
            </w:r>
            <w:r>
              <w:rPr>
                <w:rFonts w:ascii="Times New Roman" w:hAnsi="Times New Roman" w:cs="Times New Roman"/>
                <w:color w:val="000000"/>
                <w:sz w:val="21"/>
                <w:szCs w:val="21"/>
              </w:rPr>
              <w:t>口径铝气雾罐》等</w:t>
            </w:r>
          </w:p>
        </w:tc>
      </w:tr>
      <w:tr w:rsidR="00DA551E">
        <w:trPr>
          <w:trHeight w:val="363"/>
        </w:trPr>
        <w:tc>
          <w:tcPr>
            <w:tcW w:w="2613" w:type="dxa"/>
            <w:tcBorders>
              <w:tl2br w:val="nil"/>
              <w:tr2bl w:val="nil"/>
            </w:tcBorders>
            <w:vAlign w:val="center"/>
          </w:tcPr>
          <w:p w:rsidR="00DA551E" w:rsidRDefault="0051000E">
            <w:pPr>
              <w:pStyle w:val="af1"/>
              <w:spacing w:line="360" w:lineRule="auto"/>
              <w:jc w:val="center"/>
              <w:rPr>
                <w:rFonts w:ascii="Times New Roman" w:hAnsi="Times New Roman" w:cs="Times New Roman"/>
                <w:b/>
                <w:bCs/>
                <w:kern w:val="2"/>
                <w:sz w:val="21"/>
                <w:szCs w:val="21"/>
              </w:rPr>
            </w:pPr>
            <w:r>
              <w:rPr>
                <w:rFonts w:ascii="Times New Roman" w:hAnsi="Times New Roman" w:cs="Times New Roman"/>
                <w:color w:val="000000"/>
                <w:sz w:val="21"/>
                <w:szCs w:val="21"/>
              </w:rPr>
              <w:t>3.2.4 </w:t>
            </w:r>
            <w:r>
              <w:rPr>
                <w:rFonts w:ascii="Times New Roman" w:hAnsi="Times New Roman" w:cs="Times New Roman"/>
                <w:color w:val="000000"/>
                <w:sz w:val="21"/>
                <w:szCs w:val="21"/>
              </w:rPr>
              <w:t>内外涂层附着力</w:t>
            </w:r>
          </w:p>
        </w:tc>
        <w:tc>
          <w:tcPr>
            <w:tcW w:w="5959" w:type="dxa"/>
            <w:tcBorders>
              <w:tl2br w:val="nil"/>
              <w:tr2bl w:val="nil"/>
            </w:tcBorders>
            <w:vAlign w:val="center"/>
          </w:tcPr>
          <w:p w:rsidR="00DA551E" w:rsidRDefault="0051000E">
            <w:pPr>
              <w:pStyle w:val="af1"/>
              <w:spacing w:line="360" w:lineRule="auto"/>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参考</w:t>
            </w:r>
            <w:r>
              <w:rPr>
                <w:rFonts w:ascii="Times New Roman" w:hAnsi="Times New Roman" w:cs="Times New Roman"/>
                <w:color w:val="000000"/>
                <w:sz w:val="21"/>
                <w:szCs w:val="21"/>
              </w:rPr>
              <w:t>GB/T 25164-2010</w:t>
            </w:r>
            <w:r>
              <w:rPr>
                <w:rFonts w:ascii="Times New Roman" w:hAnsi="Times New Roman" w:cs="Times New Roman"/>
                <w:color w:val="000000"/>
                <w:sz w:val="21"/>
                <w:szCs w:val="21"/>
              </w:rPr>
              <w:t>《包装容器</w:t>
            </w:r>
            <w:r>
              <w:rPr>
                <w:rFonts w:ascii="Times New Roman" w:hAnsi="Times New Roman" w:cs="Times New Roman"/>
                <w:color w:val="000000"/>
                <w:sz w:val="21"/>
                <w:szCs w:val="21"/>
              </w:rPr>
              <w:t> 25.4mm</w:t>
            </w:r>
            <w:r>
              <w:rPr>
                <w:rFonts w:ascii="Times New Roman" w:hAnsi="Times New Roman" w:cs="Times New Roman"/>
                <w:color w:val="000000"/>
                <w:sz w:val="21"/>
                <w:szCs w:val="21"/>
              </w:rPr>
              <w:t>口径铝气雾罐》等</w:t>
            </w:r>
          </w:p>
        </w:tc>
      </w:tr>
      <w:tr w:rsidR="00DA551E">
        <w:trPr>
          <w:trHeight w:val="292"/>
        </w:trPr>
        <w:tc>
          <w:tcPr>
            <w:tcW w:w="2613"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sz w:val="21"/>
                <w:szCs w:val="21"/>
              </w:rPr>
              <w:t>3.2.5</w:t>
            </w:r>
            <w:r>
              <w:rPr>
                <w:rFonts w:ascii="Times New Roman" w:hAnsi="Times New Roman" w:cs="Times New Roman"/>
                <w:sz w:val="21"/>
                <w:szCs w:val="21"/>
              </w:rPr>
              <w:t>氧化膜厚度</w:t>
            </w:r>
          </w:p>
        </w:tc>
        <w:tc>
          <w:tcPr>
            <w:tcW w:w="5959"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参考</w:t>
            </w:r>
            <w:r>
              <w:rPr>
                <w:rFonts w:ascii="Times New Roman" w:hAnsi="Times New Roman" w:cs="Times New Roman"/>
                <w:color w:val="000000"/>
                <w:sz w:val="21"/>
                <w:szCs w:val="21"/>
              </w:rPr>
              <w:t>YY0203</w:t>
            </w:r>
            <w:r>
              <w:rPr>
                <w:rFonts w:ascii="Times New Roman" w:hAnsi="Times New Roman" w:cs="Times New Roman"/>
                <w:color w:val="000000"/>
                <w:sz w:val="21"/>
                <w:szCs w:val="21"/>
              </w:rPr>
              <w:t>药用铝瓶</w:t>
            </w:r>
          </w:p>
        </w:tc>
      </w:tr>
      <w:tr w:rsidR="00DA551E">
        <w:trPr>
          <w:trHeight w:val="575"/>
        </w:trPr>
        <w:tc>
          <w:tcPr>
            <w:tcW w:w="2613" w:type="dxa"/>
            <w:tcBorders>
              <w:tl2br w:val="nil"/>
              <w:tr2bl w:val="nil"/>
            </w:tcBorders>
            <w:vAlign w:val="center"/>
          </w:tcPr>
          <w:p w:rsidR="00DA551E" w:rsidRDefault="0051000E">
            <w:pPr>
              <w:pStyle w:val="af1"/>
              <w:spacing w:line="360" w:lineRule="auto"/>
              <w:jc w:val="center"/>
              <w:rPr>
                <w:rFonts w:ascii="Times New Roman" w:hAnsi="Times New Roman" w:cs="Times New Roman"/>
                <w:b/>
                <w:bCs/>
                <w:kern w:val="2"/>
                <w:sz w:val="21"/>
                <w:szCs w:val="21"/>
              </w:rPr>
            </w:pPr>
            <w:r>
              <w:rPr>
                <w:rFonts w:ascii="Times New Roman" w:hAnsi="Times New Roman" w:cs="Times New Roman"/>
                <w:color w:val="000000"/>
                <w:sz w:val="21"/>
                <w:szCs w:val="21"/>
              </w:rPr>
              <w:t>3.2.6</w:t>
            </w:r>
            <w:r>
              <w:rPr>
                <w:rFonts w:ascii="Times New Roman" w:hAnsi="Times New Roman" w:cs="Times New Roman"/>
                <w:color w:val="000000"/>
                <w:sz w:val="21"/>
                <w:szCs w:val="21"/>
              </w:rPr>
              <w:t>表面能</w:t>
            </w:r>
          </w:p>
        </w:tc>
        <w:tc>
          <w:tcPr>
            <w:tcW w:w="5959" w:type="dxa"/>
            <w:tcBorders>
              <w:tl2br w:val="nil"/>
              <w:tr2bl w:val="nil"/>
            </w:tcBorders>
            <w:vAlign w:val="center"/>
          </w:tcPr>
          <w:p w:rsidR="00DA551E" w:rsidRDefault="0051000E">
            <w:pPr>
              <w:pStyle w:val="af1"/>
              <w:spacing w:line="360" w:lineRule="auto"/>
              <w:jc w:val="center"/>
              <w:rPr>
                <w:rFonts w:ascii="Times New Roman" w:eastAsia="黑体" w:hAnsi="Times New Roman" w:cs="Times New Roman"/>
                <w:b/>
                <w:bCs/>
                <w:kern w:val="2"/>
                <w:sz w:val="21"/>
                <w:szCs w:val="21"/>
              </w:rPr>
            </w:pPr>
            <w:r>
              <w:rPr>
                <w:rFonts w:ascii="Times New Roman" w:hAnsi="Times New Roman" w:cs="Times New Roman"/>
                <w:color w:val="000000"/>
                <w:sz w:val="21"/>
                <w:szCs w:val="21"/>
              </w:rPr>
              <w:t>参考</w:t>
            </w:r>
            <w:r>
              <w:rPr>
                <w:rFonts w:ascii="Times New Roman" w:hAnsi="Times New Roman" w:cs="Times New Roman"/>
                <w:color w:val="000000"/>
                <w:sz w:val="21"/>
                <w:szCs w:val="21"/>
              </w:rPr>
              <w:t>ISO8296</w:t>
            </w:r>
          </w:p>
        </w:tc>
      </w:tr>
      <w:tr w:rsidR="00DA551E">
        <w:trPr>
          <w:trHeight w:val="575"/>
        </w:trPr>
        <w:tc>
          <w:tcPr>
            <w:tcW w:w="2613" w:type="dxa"/>
            <w:tcBorders>
              <w:tl2br w:val="nil"/>
              <w:tr2bl w:val="nil"/>
            </w:tcBorders>
            <w:vAlign w:val="center"/>
          </w:tcPr>
          <w:p w:rsidR="00DA551E" w:rsidRDefault="0051000E">
            <w:pPr>
              <w:pStyle w:val="af1"/>
              <w:spacing w:line="360" w:lineRule="auto"/>
              <w:jc w:val="center"/>
              <w:rPr>
                <w:rFonts w:ascii="Times New Roman" w:hAnsi="Times New Roman" w:cs="Times New Roman"/>
                <w:b/>
                <w:bCs/>
                <w:kern w:val="2"/>
                <w:sz w:val="21"/>
                <w:szCs w:val="21"/>
              </w:rPr>
            </w:pPr>
            <w:r>
              <w:rPr>
                <w:rFonts w:ascii="Times New Roman" w:hAnsi="Times New Roman" w:cs="Times New Roman"/>
                <w:color w:val="000000"/>
                <w:sz w:val="21"/>
                <w:szCs w:val="21"/>
              </w:rPr>
              <w:t>3.2.7</w:t>
            </w:r>
            <w:r>
              <w:rPr>
                <w:rFonts w:ascii="Times New Roman" w:hAnsi="Times New Roman" w:cs="Times New Roman"/>
                <w:color w:val="000000"/>
                <w:sz w:val="21"/>
                <w:szCs w:val="21"/>
              </w:rPr>
              <w:t>接触角</w:t>
            </w:r>
          </w:p>
        </w:tc>
        <w:tc>
          <w:tcPr>
            <w:tcW w:w="5959"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参考</w:t>
            </w:r>
            <w:r>
              <w:rPr>
                <w:rFonts w:ascii="Times New Roman" w:hAnsi="Times New Roman" w:cs="Times New Roman"/>
                <w:color w:val="000000"/>
                <w:sz w:val="21"/>
                <w:szCs w:val="21"/>
              </w:rPr>
              <w:t>ISO 19403-</w:t>
            </w:r>
            <w:r>
              <w:rPr>
                <w:rFonts w:ascii="Times New Roman" w:hAnsi="Times New Roman" w:cs="Times New Roman" w:hint="eastAsia"/>
                <w:color w:val="000000"/>
                <w:sz w:val="21"/>
                <w:szCs w:val="21"/>
              </w:rPr>
              <w:t>2</w:t>
            </w:r>
          </w:p>
        </w:tc>
      </w:tr>
      <w:tr w:rsidR="00DA551E">
        <w:trPr>
          <w:trHeight w:val="575"/>
        </w:trPr>
        <w:tc>
          <w:tcPr>
            <w:tcW w:w="2613"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3.2.</w:t>
            </w:r>
            <w:r>
              <w:rPr>
                <w:rFonts w:ascii="Times New Roman" w:hAnsi="Times New Roman" w:cs="Times New Roman" w:hint="eastAsia"/>
                <w:color w:val="000000"/>
                <w:sz w:val="21"/>
                <w:szCs w:val="21"/>
              </w:rPr>
              <w:t>8</w:t>
            </w:r>
            <w:r>
              <w:rPr>
                <w:rFonts w:ascii="Times New Roman" w:hAnsi="Times New Roman" w:cs="Times New Roman"/>
                <w:color w:val="000000"/>
                <w:sz w:val="21"/>
                <w:szCs w:val="21"/>
              </w:rPr>
              <w:t>双</w:t>
            </w:r>
            <w:proofErr w:type="gramStart"/>
            <w:r>
              <w:rPr>
                <w:rFonts w:ascii="Times New Roman" w:hAnsi="Times New Roman" w:cs="Times New Roman"/>
                <w:color w:val="000000"/>
                <w:sz w:val="21"/>
                <w:szCs w:val="21"/>
              </w:rPr>
              <w:t>酚</w:t>
            </w:r>
            <w:proofErr w:type="gramEnd"/>
            <w:r>
              <w:rPr>
                <w:rFonts w:ascii="Times New Roman" w:hAnsi="Times New Roman" w:cs="Times New Roman"/>
                <w:color w:val="000000"/>
                <w:sz w:val="21"/>
                <w:szCs w:val="21"/>
              </w:rPr>
              <w:t>A</w:t>
            </w:r>
            <w:r>
              <w:rPr>
                <w:rFonts w:ascii="Times New Roman" w:hAnsi="Times New Roman" w:cs="Times New Roman"/>
                <w:color w:val="000000"/>
                <w:sz w:val="21"/>
                <w:szCs w:val="21"/>
              </w:rPr>
              <w:t>迁移量</w:t>
            </w:r>
          </w:p>
        </w:tc>
        <w:tc>
          <w:tcPr>
            <w:tcW w:w="5959"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环氧酚醛树脂类涂层涂料参考</w:t>
            </w:r>
            <w:r>
              <w:rPr>
                <w:rFonts w:ascii="Times New Roman" w:hAnsi="Times New Roman" w:cs="Times New Roman"/>
                <w:color w:val="000000"/>
                <w:sz w:val="21"/>
                <w:szCs w:val="21"/>
              </w:rPr>
              <w:t>GB4806.10-2016</w:t>
            </w:r>
          </w:p>
        </w:tc>
      </w:tr>
      <w:tr w:rsidR="00DA551E">
        <w:trPr>
          <w:trHeight w:val="575"/>
        </w:trPr>
        <w:tc>
          <w:tcPr>
            <w:tcW w:w="2613"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3.2.</w:t>
            </w:r>
            <w:r>
              <w:rPr>
                <w:rFonts w:ascii="Times New Roman" w:hAnsi="Times New Roman" w:cs="Times New Roman" w:hint="eastAsia"/>
                <w:color w:val="000000"/>
                <w:sz w:val="21"/>
                <w:szCs w:val="21"/>
              </w:rPr>
              <w:t>9</w:t>
            </w:r>
            <w:r>
              <w:rPr>
                <w:rFonts w:ascii="Times New Roman" w:hAnsi="Times New Roman" w:cs="Times New Roman"/>
                <w:color w:val="000000"/>
                <w:sz w:val="21"/>
                <w:szCs w:val="21"/>
              </w:rPr>
              <w:t>甲醛迁移量</w:t>
            </w:r>
          </w:p>
        </w:tc>
        <w:tc>
          <w:tcPr>
            <w:tcW w:w="5959"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环氧酚醛树脂类涂层涂料参考</w:t>
            </w:r>
            <w:r>
              <w:rPr>
                <w:rFonts w:ascii="Times New Roman" w:hAnsi="Times New Roman" w:cs="Times New Roman"/>
                <w:color w:val="000000"/>
                <w:sz w:val="21"/>
                <w:szCs w:val="21"/>
              </w:rPr>
              <w:t>GB4806.10-2016</w:t>
            </w:r>
          </w:p>
        </w:tc>
      </w:tr>
      <w:tr w:rsidR="00DA551E">
        <w:trPr>
          <w:trHeight w:val="575"/>
        </w:trPr>
        <w:tc>
          <w:tcPr>
            <w:tcW w:w="2613"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3.2.</w:t>
            </w:r>
            <w:r>
              <w:rPr>
                <w:rFonts w:ascii="Times New Roman" w:hAnsi="Times New Roman" w:cs="Times New Roman" w:hint="eastAsia"/>
                <w:color w:val="000000"/>
                <w:sz w:val="21"/>
                <w:szCs w:val="21"/>
              </w:rPr>
              <w:t>10</w:t>
            </w:r>
            <w:r>
              <w:rPr>
                <w:rFonts w:ascii="Times New Roman" w:hAnsi="Times New Roman" w:cs="Times New Roman" w:hint="eastAsia"/>
                <w:color w:val="000000"/>
                <w:sz w:val="21"/>
                <w:szCs w:val="21"/>
              </w:rPr>
              <w:t>己内酰胺</w:t>
            </w:r>
            <w:r>
              <w:rPr>
                <w:rFonts w:ascii="Times New Roman" w:hAnsi="Times New Roman" w:cs="Times New Roman"/>
                <w:color w:val="000000"/>
                <w:sz w:val="21"/>
                <w:szCs w:val="21"/>
              </w:rPr>
              <w:t>迁移量</w:t>
            </w:r>
          </w:p>
        </w:tc>
        <w:tc>
          <w:tcPr>
            <w:tcW w:w="5959"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hint="eastAsia"/>
                <w:color w:val="000000"/>
                <w:sz w:val="21"/>
                <w:szCs w:val="21"/>
              </w:rPr>
              <w:t>氨基树脂类</w:t>
            </w:r>
            <w:r>
              <w:rPr>
                <w:rFonts w:ascii="Times New Roman" w:hAnsi="Times New Roman" w:cs="Times New Roman"/>
                <w:color w:val="000000"/>
                <w:sz w:val="21"/>
                <w:szCs w:val="21"/>
              </w:rPr>
              <w:t>涂层涂料参考</w:t>
            </w:r>
            <w:r>
              <w:rPr>
                <w:rFonts w:ascii="Times New Roman" w:hAnsi="Times New Roman" w:cs="Times New Roman"/>
                <w:color w:val="000000"/>
                <w:sz w:val="21"/>
                <w:szCs w:val="21"/>
              </w:rPr>
              <w:t>GB4806.10-2016</w:t>
            </w:r>
          </w:p>
        </w:tc>
      </w:tr>
      <w:tr w:rsidR="00DA551E">
        <w:trPr>
          <w:trHeight w:val="500"/>
        </w:trPr>
        <w:tc>
          <w:tcPr>
            <w:tcW w:w="2613"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3.2.</w:t>
            </w:r>
            <w:r>
              <w:rPr>
                <w:rFonts w:ascii="Times New Roman" w:hAnsi="Times New Roman" w:cs="Times New Roman" w:hint="eastAsia"/>
                <w:color w:val="000000"/>
                <w:sz w:val="21"/>
                <w:szCs w:val="21"/>
              </w:rPr>
              <w:t>11</w:t>
            </w:r>
            <w:r>
              <w:rPr>
                <w:rFonts w:ascii="Times New Roman" w:hAnsi="Times New Roman" w:cs="Times New Roman" w:hint="eastAsia"/>
                <w:color w:val="000000"/>
                <w:sz w:val="21"/>
                <w:szCs w:val="21"/>
              </w:rPr>
              <w:t>丙烯酸</w:t>
            </w:r>
            <w:r>
              <w:rPr>
                <w:rFonts w:ascii="Times New Roman" w:hAnsi="Times New Roman" w:cs="Times New Roman"/>
                <w:color w:val="000000"/>
                <w:sz w:val="21"/>
                <w:szCs w:val="21"/>
              </w:rPr>
              <w:t>迁移量</w:t>
            </w:r>
          </w:p>
        </w:tc>
        <w:tc>
          <w:tcPr>
            <w:tcW w:w="5959" w:type="dxa"/>
            <w:tcBorders>
              <w:tl2br w:val="nil"/>
              <w:tr2bl w:val="nil"/>
            </w:tcBorders>
            <w:vAlign w:val="center"/>
          </w:tcPr>
          <w:p w:rsidR="00DA551E" w:rsidRDefault="0051000E">
            <w:pPr>
              <w:pStyle w:val="af1"/>
              <w:spacing w:line="360" w:lineRule="auto"/>
              <w:jc w:val="center"/>
              <w:rPr>
                <w:rFonts w:ascii="Times New Roman" w:hAnsi="Times New Roman" w:cs="Times New Roman"/>
                <w:color w:val="000000"/>
                <w:sz w:val="21"/>
                <w:szCs w:val="21"/>
              </w:rPr>
            </w:pPr>
            <w:r>
              <w:rPr>
                <w:rFonts w:ascii="Times New Roman" w:hAnsi="Times New Roman" w:cs="Times New Roman" w:hint="eastAsia"/>
                <w:color w:val="000000"/>
                <w:sz w:val="21"/>
                <w:szCs w:val="21"/>
              </w:rPr>
              <w:t>丙烯酸</w:t>
            </w:r>
            <w:r>
              <w:rPr>
                <w:rFonts w:ascii="Times New Roman" w:hAnsi="Times New Roman" w:cs="Times New Roman"/>
                <w:color w:val="000000"/>
                <w:sz w:val="21"/>
                <w:szCs w:val="21"/>
              </w:rPr>
              <w:t>涂料涂层涂料参考</w:t>
            </w:r>
            <w:r>
              <w:rPr>
                <w:rFonts w:ascii="Times New Roman" w:hAnsi="Times New Roman" w:cs="Times New Roman"/>
                <w:color w:val="000000"/>
                <w:sz w:val="21"/>
                <w:szCs w:val="21"/>
              </w:rPr>
              <w:t>GB4806.10-2016</w:t>
            </w:r>
          </w:p>
        </w:tc>
      </w:tr>
    </w:tbl>
    <w:p w:rsidR="00DA551E" w:rsidRDefault="00DA551E">
      <w:pPr>
        <w:pStyle w:val="a6"/>
        <w:suppressLineNumbers/>
        <w:spacing w:line="360" w:lineRule="auto"/>
        <w:ind w:firstLineChars="200" w:firstLine="480"/>
        <w:jc w:val="left"/>
        <w:rPr>
          <w:rFonts w:ascii="Times New Roman" w:hAnsi="Times New Roman" w:cs="Times New Roman"/>
          <w:bCs/>
          <w:sz w:val="24"/>
          <w:szCs w:val="24"/>
        </w:rPr>
      </w:pPr>
    </w:p>
    <w:sectPr w:rsidR="00DA551E">
      <w:type w:val="continuous"/>
      <w:pgSz w:w="11900" w:h="16840"/>
      <w:pgMar w:top="1440" w:right="1800" w:bottom="1440" w:left="1800" w:header="1134" w:footer="855"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00E" w:rsidRDefault="0051000E">
      <w:r>
        <w:separator/>
      </w:r>
    </w:p>
  </w:endnote>
  <w:endnote w:type="continuationSeparator" w:id="0">
    <w:p w:rsidR="0051000E" w:rsidRDefault="00510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embedBold r:id="rId1" w:subsetted="1" w:fontKey="{889E5083-7B9E-40CD-B8EF-86A8380006D1}"/>
  </w:font>
  <w:font w:name="微软雅黑">
    <w:panose1 w:val="020B0503020204020204"/>
    <w:charset w:val="86"/>
    <w:family w:val="swiss"/>
    <w:pitch w:val="variable"/>
    <w:sig w:usb0="80000287" w:usb1="280F3C52" w:usb2="00000016" w:usb3="00000000" w:csb0="0004001F" w:csb1="00000000"/>
  </w:font>
  <w:font w:name="方正公文黑体">
    <w:charset w:val="86"/>
    <w:family w:val="auto"/>
    <w:pitch w:val="default"/>
    <w:sig w:usb0="A00002BF" w:usb1="38CF7CFA" w:usb2="00000016" w:usb3="00000000" w:csb0="00040001" w:csb1="00000000"/>
  </w:font>
  <w:font w:name="sans-serif">
    <w:altName w:val="Segoe Print"/>
    <w:charset w:val="00"/>
    <w:family w:val="auto"/>
    <w:pitch w:val="default"/>
  </w:font>
  <w:font w:name="___WRD_EMBED_SUB_41">
    <w:altName w:val="Arial Unicode MS"/>
    <w:charset w:val="86"/>
    <w:family w:val="auto"/>
    <w:pitch w:val="default"/>
    <w:sig w:usb0="00000000" w:usb1="00000000" w:usb2="00000016" w:usb3="00000000" w:csb0="00040001" w:csb1="00000000"/>
    <w:embedBold r:id="rId2" w:subsetted="1" w:fontKey="{18D07C67-93BB-4A32-B1C6-9640C152D782}"/>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00E" w:rsidRDefault="0051000E">
      <w:r>
        <w:separator/>
      </w:r>
    </w:p>
  </w:footnote>
  <w:footnote w:type="continuationSeparator" w:id="0">
    <w:p w:rsidR="0051000E" w:rsidRDefault="00510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51E" w:rsidRDefault="0051000E">
    <w:pPr>
      <w:pStyle w:val="ad"/>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40" o:spid="_x0000_s2049" type="#_x0000_t136" style="position:absolute;left:0;text-align:left;margin-left:0;margin-top:0;width:465.65pt;height:121.6pt;rotation:-45;z-index:-251658752;mso-position-horizontal:center;mso-position-horizontal-relative:margin;mso-position-vertical:center;mso-position-vertical-relative:margin;mso-width-relative:page;mso-height-relative:page" fillcolor="silver" stroked="f">
          <v:fill opacity=".5"/>
          <v:textpath style="font-family:&quot;微软雅黑&quot;" trim="t" fitpath="t" string="征求意见稿"/>
          <o:lock v:ext="edit" aspectratio="t"/>
          <w10:wrap anchorx="margin" anchory="margin"/>
        </v:shape>
      </w:pict>
    </w:r>
    <w:r>
      <w:rPr>
        <w:rFonts w:hint="eastAsia"/>
      </w:rPr>
      <w:t>2023</w:t>
    </w:r>
    <w:r>
      <w:rPr>
        <w:rFonts w:hint="eastAsia"/>
      </w:rPr>
      <w:t>年</w:t>
    </w:r>
    <w:r>
      <w:t>8</w:t>
    </w:r>
    <w:r>
      <w:rPr>
        <w:rFonts w:hint="eastAsia"/>
      </w:rPr>
      <w:t>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616A05A"/>
    <w:multiLevelType w:val="singleLevel"/>
    <w:tmpl w:val="D616A05A"/>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MmUxOWJkM2Q4YmQ4NjMyMTYzNDQwNzVhYWM0MGEifQ=="/>
  </w:docVars>
  <w:rsids>
    <w:rsidRoot w:val="00B80C46"/>
    <w:rsid w:val="00002BAA"/>
    <w:rsid w:val="000037BC"/>
    <w:rsid w:val="00007941"/>
    <w:rsid w:val="00011A7F"/>
    <w:rsid w:val="0001630E"/>
    <w:rsid w:val="00020BB5"/>
    <w:rsid w:val="000226CB"/>
    <w:rsid w:val="00025A67"/>
    <w:rsid w:val="00030995"/>
    <w:rsid w:val="00033190"/>
    <w:rsid w:val="0003497A"/>
    <w:rsid w:val="00035D9D"/>
    <w:rsid w:val="000428C6"/>
    <w:rsid w:val="000468A9"/>
    <w:rsid w:val="00051576"/>
    <w:rsid w:val="0005424C"/>
    <w:rsid w:val="000543D0"/>
    <w:rsid w:val="00054C43"/>
    <w:rsid w:val="00057E22"/>
    <w:rsid w:val="00067A07"/>
    <w:rsid w:val="00070C12"/>
    <w:rsid w:val="000712D6"/>
    <w:rsid w:val="000766F2"/>
    <w:rsid w:val="00084755"/>
    <w:rsid w:val="00086A0A"/>
    <w:rsid w:val="0009267A"/>
    <w:rsid w:val="000A5C25"/>
    <w:rsid w:val="000C0441"/>
    <w:rsid w:val="000C0F27"/>
    <w:rsid w:val="000C0F41"/>
    <w:rsid w:val="000C2874"/>
    <w:rsid w:val="000C33BE"/>
    <w:rsid w:val="000C5703"/>
    <w:rsid w:val="000D0C81"/>
    <w:rsid w:val="000D165F"/>
    <w:rsid w:val="000D5774"/>
    <w:rsid w:val="000D5D42"/>
    <w:rsid w:val="000D71EC"/>
    <w:rsid w:val="000E3C47"/>
    <w:rsid w:val="000E563C"/>
    <w:rsid w:val="000F11A7"/>
    <w:rsid w:val="000F365C"/>
    <w:rsid w:val="00102A31"/>
    <w:rsid w:val="0011058A"/>
    <w:rsid w:val="001117E3"/>
    <w:rsid w:val="00113F07"/>
    <w:rsid w:val="001150CE"/>
    <w:rsid w:val="001158C5"/>
    <w:rsid w:val="00115FDB"/>
    <w:rsid w:val="00117CB9"/>
    <w:rsid w:val="00122072"/>
    <w:rsid w:val="00122BCF"/>
    <w:rsid w:val="00132378"/>
    <w:rsid w:val="001335FA"/>
    <w:rsid w:val="00134003"/>
    <w:rsid w:val="00142648"/>
    <w:rsid w:val="00146B03"/>
    <w:rsid w:val="00151F79"/>
    <w:rsid w:val="00152A4A"/>
    <w:rsid w:val="001605D4"/>
    <w:rsid w:val="00170E69"/>
    <w:rsid w:val="001716C1"/>
    <w:rsid w:val="00174259"/>
    <w:rsid w:val="00174449"/>
    <w:rsid w:val="001747F7"/>
    <w:rsid w:val="00175FF7"/>
    <w:rsid w:val="00176CF8"/>
    <w:rsid w:val="00183E13"/>
    <w:rsid w:val="00190F6F"/>
    <w:rsid w:val="001914FD"/>
    <w:rsid w:val="001934BF"/>
    <w:rsid w:val="00197456"/>
    <w:rsid w:val="001979B4"/>
    <w:rsid w:val="001A18B6"/>
    <w:rsid w:val="001A219C"/>
    <w:rsid w:val="001A4FF8"/>
    <w:rsid w:val="001B00E6"/>
    <w:rsid w:val="001B28DA"/>
    <w:rsid w:val="001B594F"/>
    <w:rsid w:val="001B5B1D"/>
    <w:rsid w:val="001C1443"/>
    <w:rsid w:val="001C15DD"/>
    <w:rsid w:val="001C29E6"/>
    <w:rsid w:val="001C45C7"/>
    <w:rsid w:val="001C585C"/>
    <w:rsid w:val="001D2879"/>
    <w:rsid w:val="001D51C7"/>
    <w:rsid w:val="001D5B9A"/>
    <w:rsid w:val="001E21DB"/>
    <w:rsid w:val="001E7A42"/>
    <w:rsid w:val="001F2E4B"/>
    <w:rsid w:val="002076C9"/>
    <w:rsid w:val="00211E13"/>
    <w:rsid w:val="00230604"/>
    <w:rsid w:val="00245D97"/>
    <w:rsid w:val="002463B4"/>
    <w:rsid w:val="002502BB"/>
    <w:rsid w:val="00260FD4"/>
    <w:rsid w:val="0026681F"/>
    <w:rsid w:val="00266FA5"/>
    <w:rsid w:val="002739DD"/>
    <w:rsid w:val="00273E21"/>
    <w:rsid w:val="00286A54"/>
    <w:rsid w:val="00291068"/>
    <w:rsid w:val="00292BF7"/>
    <w:rsid w:val="002969F9"/>
    <w:rsid w:val="002A3AA5"/>
    <w:rsid w:val="002A7D82"/>
    <w:rsid w:val="002B5892"/>
    <w:rsid w:val="002C57C6"/>
    <w:rsid w:val="002D2B03"/>
    <w:rsid w:val="002E5B01"/>
    <w:rsid w:val="002E71FA"/>
    <w:rsid w:val="002F0DB6"/>
    <w:rsid w:val="002F115E"/>
    <w:rsid w:val="002F11A0"/>
    <w:rsid w:val="002F261A"/>
    <w:rsid w:val="002F2B67"/>
    <w:rsid w:val="002F37A7"/>
    <w:rsid w:val="002F5C1C"/>
    <w:rsid w:val="00302716"/>
    <w:rsid w:val="0030499A"/>
    <w:rsid w:val="00306E69"/>
    <w:rsid w:val="00311EE0"/>
    <w:rsid w:val="00316F00"/>
    <w:rsid w:val="00317479"/>
    <w:rsid w:val="00320565"/>
    <w:rsid w:val="00323388"/>
    <w:rsid w:val="00324EE5"/>
    <w:rsid w:val="00326D07"/>
    <w:rsid w:val="00326EB9"/>
    <w:rsid w:val="0033130D"/>
    <w:rsid w:val="00331D51"/>
    <w:rsid w:val="003334E3"/>
    <w:rsid w:val="00333883"/>
    <w:rsid w:val="003365CF"/>
    <w:rsid w:val="003422A2"/>
    <w:rsid w:val="003440C7"/>
    <w:rsid w:val="003459C6"/>
    <w:rsid w:val="0035190B"/>
    <w:rsid w:val="00352078"/>
    <w:rsid w:val="00355077"/>
    <w:rsid w:val="00361FCB"/>
    <w:rsid w:val="00367A25"/>
    <w:rsid w:val="00367C07"/>
    <w:rsid w:val="003703CB"/>
    <w:rsid w:val="003740CD"/>
    <w:rsid w:val="00376F7E"/>
    <w:rsid w:val="00377B1C"/>
    <w:rsid w:val="00384AD1"/>
    <w:rsid w:val="00384D95"/>
    <w:rsid w:val="00384FB6"/>
    <w:rsid w:val="00387C9B"/>
    <w:rsid w:val="003909C8"/>
    <w:rsid w:val="003928F3"/>
    <w:rsid w:val="00396334"/>
    <w:rsid w:val="003A2F27"/>
    <w:rsid w:val="003A753D"/>
    <w:rsid w:val="003A7E17"/>
    <w:rsid w:val="003B12C2"/>
    <w:rsid w:val="003B41C0"/>
    <w:rsid w:val="003C305C"/>
    <w:rsid w:val="003C4114"/>
    <w:rsid w:val="003C7784"/>
    <w:rsid w:val="003D31E2"/>
    <w:rsid w:val="003D3FD3"/>
    <w:rsid w:val="003D4267"/>
    <w:rsid w:val="003D5206"/>
    <w:rsid w:val="003D659F"/>
    <w:rsid w:val="003E0BBD"/>
    <w:rsid w:val="003E18FD"/>
    <w:rsid w:val="003E1BE1"/>
    <w:rsid w:val="003E4C39"/>
    <w:rsid w:val="003E6A11"/>
    <w:rsid w:val="003E7873"/>
    <w:rsid w:val="003F0E42"/>
    <w:rsid w:val="003F3DED"/>
    <w:rsid w:val="003F4903"/>
    <w:rsid w:val="003F4AAA"/>
    <w:rsid w:val="00400998"/>
    <w:rsid w:val="004065F5"/>
    <w:rsid w:val="00410BC5"/>
    <w:rsid w:val="00413120"/>
    <w:rsid w:val="00413405"/>
    <w:rsid w:val="00413685"/>
    <w:rsid w:val="004178F4"/>
    <w:rsid w:val="0042134A"/>
    <w:rsid w:val="004220C2"/>
    <w:rsid w:val="004220FA"/>
    <w:rsid w:val="00425DD8"/>
    <w:rsid w:val="00426A2D"/>
    <w:rsid w:val="004305BD"/>
    <w:rsid w:val="00436D55"/>
    <w:rsid w:val="00442936"/>
    <w:rsid w:val="00443C82"/>
    <w:rsid w:val="0044411F"/>
    <w:rsid w:val="004453CB"/>
    <w:rsid w:val="004462AA"/>
    <w:rsid w:val="0044729E"/>
    <w:rsid w:val="004534B2"/>
    <w:rsid w:val="0046583D"/>
    <w:rsid w:val="004665C8"/>
    <w:rsid w:val="00470288"/>
    <w:rsid w:val="004725C7"/>
    <w:rsid w:val="004829D8"/>
    <w:rsid w:val="004858B4"/>
    <w:rsid w:val="004A3BD4"/>
    <w:rsid w:val="004A4862"/>
    <w:rsid w:val="004A4E61"/>
    <w:rsid w:val="004A57DE"/>
    <w:rsid w:val="004A59FF"/>
    <w:rsid w:val="004A750B"/>
    <w:rsid w:val="004B7573"/>
    <w:rsid w:val="004B7A99"/>
    <w:rsid w:val="004C5304"/>
    <w:rsid w:val="004C530A"/>
    <w:rsid w:val="004C5E34"/>
    <w:rsid w:val="004C6B44"/>
    <w:rsid w:val="004D031A"/>
    <w:rsid w:val="004D3D70"/>
    <w:rsid w:val="004D488E"/>
    <w:rsid w:val="004D5510"/>
    <w:rsid w:val="004E266A"/>
    <w:rsid w:val="004E3C19"/>
    <w:rsid w:val="004E5805"/>
    <w:rsid w:val="004F277F"/>
    <w:rsid w:val="004F35AC"/>
    <w:rsid w:val="00505E60"/>
    <w:rsid w:val="0051000E"/>
    <w:rsid w:val="00513DCF"/>
    <w:rsid w:val="005168C6"/>
    <w:rsid w:val="0051784C"/>
    <w:rsid w:val="0052764A"/>
    <w:rsid w:val="00531297"/>
    <w:rsid w:val="00534C78"/>
    <w:rsid w:val="00542709"/>
    <w:rsid w:val="005439B0"/>
    <w:rsid w:val="00543F04"/>
    <w:rsid w:val="0054562A"/>
    <w:rsid w:val="00545CF0"/>
    <w:rsid w:val="0054684F"/>
    <w:rsid w:val="00560EE2"/>
    <w:rsid w:val="005652B2"/>
    <w:rsid w:val="005676A5"/>
    <w:rsid w:val="00571705"/>
    <w:rsid w:val="00576B9E"/>
    <w:rsid w:val="005801D7"/>
    <w:rsid w:val="00591062"/>
    <w:rsid w:val="00591F72"/>
    <w:rsid w:val="0059344B"/>
    <w:rsid w:val="005A0C7A"/>
    <w:rsid w:val="005A5097"/>
    <w:rsid w:val="005A7231"/>
    <w:rsid w:val="005B44D1"/>
    <w:rsid w:val="005B6090"/>
    <w:rsid w:val="005B7A2F"/>
    <w:rsid w:val="005C00C0"/>
    <w:rsid w:val="005C5685"/>
    <w:rsid w:val="005D007F"/>
    <w:rsid w:val="005D2063"/>
    <w:rsid w:val="005D6637"/>
    <w:rsid w:val="005E1300"/>
    <w:rsid w:val="005F5FBE"/>
    <w:rsid w:val="00601AD4"/>
    <w:rsid w:val="006063A4"/>
    <w:rsid w:val="00607305"/>
    <w:rsid w:val="006117AD"/>
    <w:rsid w:val="00612D60"/>
    <w:rsid w:val="00613294"/>
    <w:rsid w:val="006139B6"/>
    <w:rsid w:val="006161F1"/>
    <w:rsid w:val="006162BB"/>
    <w:rsid w:val="006225A9"/>
    <w:rsid w:val="00623021"/>
    <w:rsid w:val="00624593"/>
    <w:rsid w:val="00636A77"/>
    <w:rsid w:val="00636B14"/>
    <w:rsid w:val="006457D2"/>
    <w:rsid w:val="00650C13"/>
    <w:rsid w:val="00653427"/>
    <w:rsid w:val="00653973"/>
    <w:rsid w:val="00653DCB"/>
    <w:rsid w:val="006559FF"/>
    <w:rsid w:val="00660070"/>
    <w:rsid w:val="00660B96"/>
    <w:rsid w:val="00663C43"/>
    <w:rsid w:val="00664766"/>
    <w:rsid w:val="006653FF"/>
    <w:rsid w:val="00667F87"/>
    <w:rsid w:val="0067088B"/>
    <w:rsid w:val="006751A5"/>
    <w:rsid w:val="00681B16"/>
    <w:rsid w:val="006838DD"/>
    <w:rsid w:val="0068575A"/>
    <w:rsid w:val="00686DD8"/>
    <w:rsid w:val="00692639"/>
    <w:rsid w:val="006A2B09"/>
    <w:rsid w:val="006A4D97"/>
    <w:rsid w:val="006A6A9D"/>
    <w:rsid w:val="006A6E43"/>
    <w:rsid w:val="006B305B"/>
    <w:rsid w:val="006B374F"/>
    <w:rsid w:val="006C2446"/>
    <w:rsid w:val="006C27D3"/>
    <w:rsid w:val="006C6A4F"/>
    <w:rsid w:val="006D2C3D"/>
    <w:rsid w:val="006D40C3"/>
    <w:rsid w:val="006E2C0F"/>
    <w:rsid w:val="006E5ABD"/>
    <w:rsid w:val="006F34F8"/>
    <w:rsid w:val="006F3A91"/>
    <w:rsid w:val="006F594C"/>
    <w:rsid w:val="006F73D3"/>
    <w:rsid w:val="00703813"/>
    <w:rsid w:val="00703B25"/>
    <w:rsid w:val="00706C29"/>
    <w:rsid w:val="00711972"/>
    <w:rsid w:val="007214A5"/>
    <w:rsid w:val="00725AAE"/>
    <w:rsid w:val="00725ADF"/>
    <w:rsid w:val="007264FC"/>
    <w:rsid w:val="00727B51"/>
    <w:rsid w:val="00731F62"/>
    <w:rsid w:val="007365EC"/>
    <w:rsid w:val="00743D7A"/>
    <w:rsid w:val="00743F01"/>
    <w:rsid w:val="007464A6"/>
    <w:rsid w:val="007502D4"/>
    <w:rsid w:val="00751B8B"/>
    <w:rsid w:val="0075358F"/>
    <w:rsid w:val="00757135"/>
    <w:rsid w:val="0075763E"/>
    <w:rsid w:val="00757706"/>
    <w:rsid w:val="0076134B"/>
    <w:rsid w:val="007614FE"/>
    <w:rsid w:val="00763FCA"/>
    <w:rsid w:val="00764B38"/>
    <w:rsid w:val="00772C38"/>
    <w:rsid w:val="00776456"/>
    <w:rsid w:val="00777C63"/>
    <w:rsid w:val="00787D89"/>
    <w:rsid w:val="0079188E"/>
    <w:rsid w:val="007937CF"/>
    <w:rsid w:val="00793AFA"/>
    <w:rsid w:val="0079540D"/>
    <w:rsid w:val="0079758B"/>
    <w:rsid w:val="007A17F4"/>
    <w:rsid w:val="007A4B2C"/>
    <w:rsid w:val="007A5FEB"/>
    <w:rsid w:val="007B58DC"/>
    <w:rsid w:val="007C0223"/>
    <w:rsid w:val="007C259A"/>
    <w:rsid w:val="007C51A6"/>
    <w:rsid w:val="007E33B5"/>
    <w:rsid w:val="007E368C"/>
    <w:rsid w:val="007E6B99"/>
    <w:rsid w:val="007F28FA"/>
    <w:rsid w:val="007F4683"/>
    <w:rsid w:val="00802C88"/>
    <w:rsid w:val="0080553C"/>
    <w:rsid w:val="00805651"/>
    <w:rsid w:val="00807E1A"/>
    <w:rsid w:val="00807E59"/>
    <w:rsid w:val="00810973"/>
    <w:rsid w:val="008127E8"/>
    <w:rsid w:val="00813525"/>
    <w:rsid w:val="00814927"/>
    <w:rsid w:val="00817FAA"/>
    <w:rsid w:val="00824F4C"/>
    <w:rsid w:val="00825227"/>
    <w:rsid w:val="00832B2C"/>
    <w:rsid w:val="00833521"/>
    <w:rsid w:val="00834D83"/>
    <w:rsid w:val="00835D4A"/>
    <w:rsid w:val="00843BF8"/>
    <w:rsid w:val="00844A95"/>
    <w:rsid w:val="00845B39"/>
    <w:rsid w:val="00847692"/>
    <w:rsid w:val="008532E5"/>
    <w:rsid w:val="0085493D"/>
    <w:rsid w:val="00854CA4"/>
    <w:rsid w:val="00861CFC"/>
    <w:rsid w:val="00864B60"/>
    <w:rsid w:val="00865974"/>
    <w:rsid w:val="00872D2D"/>
    <w:rsid w:val="008730D3"/>
    <w:rsid w:val="008737BF"/>
    <w:rsid w:val="00880287"/>
    <w:rsid w:val="00895925"/>
    <w:rsid w:val="008960D7"/>
    <w:rsid w:val="008A061C"/>
    <w:rsid w:val="008A0AF2"/>
    <w:rsid w:val="008A2214"/>
    <w:rsid w:val="008A52BF"/>
    <w:rsid w:val="008A79FC"/>
    <w:rsid w:val="008A7EC4"/>
    <w:rsid w:val="008B0C7E"/>
    <w:rsid w:val="008B7F33"/>
    <w:rsid w:val="008C1AF6"/>
    <w:rsid w:val="008C2CF5"/>
    <w:rsid w:val="008C3091"/>
    <w:rsid w:val="008C7E45"/>
    <w:rsid w:val="008D4007"/>
    <w:rsid w:val="008D757C"/>
    <w:rsid w:val="008E28AE"/>
    <w:rsid w:val="008E6CB9"/>
    <w:rsid w:val="008E72C7"/>
    <w:rsid w:val="008F02FE"/>
    <w:rsid w:val="008F0DDC"/>
    <w:rsid w:val="008F29CB"/>
    <w:rsid w:val="008F648C"/>
    <w:rsid w:val="008F73DD"/>
    <w:rsid w:val="00902553"/>
    <w:rsid w:val="00904062"/>
    <w:rsid w:val="00904C33"/>
    <w:rsid w:val="00906394"/>
    <w:rsid w:val="00911905"/>
    <w:rsid w:val="00912196"/>
    <w:rsid w:val="00912AD6"/>
    <w:rsid w:val="00915653"/>
    <w:rsid w:val="00922EE7"/>
    <w:rsid w:val="00935F90"/>
    <w:rsid w:val="0094253E"/>
    <w:rsid w:val="0094342C"/>
    <w:rsid w:val="009467C6"/>
    <w:rsid w:val="009468DD"/>
    <w:rsid w:val="0094742B"/>
    <w:rsid w:val="00950D16"/>
    <w:rsid w:val="009552CC"/>
    <w:rsid w:val="009572C9"/>
    <w:rsid w:val="00960426"/>
    <w:rsid w:val="009756FA"/>
    <w:rsid w:val="00991919"/>
    <w:rsid w:val="0099477D"/>
    <w:rsid w:val="00996484"/>
    <w:rsid w:val="00997863"/>
    <w:rsid w:val="009A7C3A"/>
    <w:rsid w:val="009B450E"/>
    <w:rsid w:val="009B4E7B"/>
    <w:rsid w:val="009B5794"/>
    <w:rsid w:val="009B7F85"/>
    <w:rsid w:val="009C2B1F"/>
    <w:rsid w:val="009C50B0"/>
    <w:rsid w:val="009C696C"/>
    <w:rsid w:val="009D5FFC"/>
    <w:rsid w:val="009D7E29"/>
    <w:rsid w:val="009E1625"/>
    <w:rsid w:val="009E27CC"/>
    <w:rsid w:val="009F31B8"/>
    <w:rsid w:val="00A0063A"/>
    <w:rsid w:val="00A11074"/>
    <w:rsid w:val="00A11FEF"/>
    <w:rsid w:val="00A13144"/>
    <w:rsid w:val="00A2443E"/>
    <w:rsid w:val="00A27085"/>
    <w:rsid w:val="00A30626"/>
    <w:rsid w:val="00A3205C"/>
    <w:rsid w:val="00A34A4B"/>
    <w:rsid w:val="00A45D68"/>
    <w:rsid w:val="00A45E1C"/>
    <w:rsid w:val="00A516B2"/>
    <w:rsid w:val="00A55359"/>
    <w:rsid w:val="00A62FB8"/>
    <w:rsid w:val="00A6338A"/>
    <w:rsid w:val="00A65229"/>
    <w:rsid w:val="00A66715"/>
    <w:rsid w:val="00A75D8E"/>
    <w:rsid w:val="00A76608"/>
    <w:rsid w:val="00A7754E"/>
    <w:rsid w:val="00A84FBD"/>
    <w:rsid w:val="00A85180"/>
    <w:rsid w:val="00A86550"/>
    <w:rsid w:val="00A92ED0"/>
    <w:rsid w:val="00A945C2"/>
    <w:rsid w:val="00A95523"/>
    <w:rsid w:val="00A96C96"/>
    <w:rsid w:val="00AA6C0D"/>
    <w:rsid w:val="00AB4F1E"/>
    <w:rsid w:val="00AB60E9"/>
    <w:rsid w:val="00AC08EE"/>
    <w:rsid w:val="00AC0C37"/>
    <w:rsid w:val="00AC15F5"/>
    <w:rsid w:val="00AC16F8"/>
    <w:rsid w:val="00AD28B8"/>
    <w:rsid w:val="00AE1013"/>
    <w:rsid w:val="00AE3E4D"/>
    <w:rsid w:val="00AE485C"/>
    <w:rsid w:val="00AE5D81"/>
    <w:rsid w:val="00AF1A29"/>
    <w:rsid w:val="00AF2271"/>
    <w:rsid w:val="00AF4A10"/>
    <w:rsid w:val="00AF54C0"/>
    <w:rsid w:val="00B034D7"/>
    <w:rsid w:val="00B06B16"/>
    <w:rsid w:val="00B06F67"/>
    <w:rsid w:val="00B07498"/>
    <w:rsid w:val="00B136C2"/>
    <w:rsid w:val="00B201E2"/>
    <w:rsid w:val="00B21DAF"/>
    <w:rsid w:val="00B243E1"/>
    <w:rsid w:val="00B3015C"/>
    <w:rsid w:val="00B303B1"/>
    <w:rsid w:val="00B3066A"/>
    <w:rsid w:val="00B32BBA"/>
    <w:rsid w:val="00B35C50"/>
    <w:rsid w:val="00B41100"/>
    <w:rsid w:val="00B441CE"/>
    <w:rsid w:val="00B46F1C"/>
    <w:rsid w:val="00B502BA"/>
    <w:rsid w:val="00B52262"/>
    <w:rsid w:val="00B53FB1"/>
    <w:rsid w:val="00B55CEA"/>
    <w:rsid w:val="00B63611"/>
    <w:rsid w:val="00B65B71"/>
    <w:rsid w:val="00B672EF"/>
    <w:rsid w:val="00B67E2A"/>
    <w:rsid w:val="00B71995"/>
    <w:rsid w:val="00B72B17"/>
    <w:rsid w:val="00B77241"/>
    <w:rsid w:val="00B80C46"/>
    <w:rsid w:val="00B84C09"/>
    <w:rsid w:val="00B85B07"/>
    <w:rsid w:val="00B863C3"/>
    <w:rsid w:val="00B91072"/>
    <w:rsid w:val="00B91867"/>
    <w:rsid w:val="00B91E92"/>
    <w:rsid w:val="00B9415D"/>
    <w:rsid w:val="00B94AAD"/>
    <w:rsid w:val="00B97FBC"/>
    <w:rsid w:val="00BA28E1"/>
    <w:rsid w:val="00BA49F6"/>
    <w:rsid w:val="00BA750C"/>
    <w:rsid w:val="00BA7961"/>
    <w:rsid w:val="00BB111F"/>
    <w:rsid w:val="00BB175D"/>
    <w:rsid w:val="00BB1D9B"/>
    <w:rsid w:val="00BB2FFF"/>
    <w:rsid w:val="00BB5A02"/>
    <w:rsid w:val="00BC20CA"/>
    <w:rsid w:val="00BC4995"/>
    <w:rsid w:val="00BC5BDB"/>
    <w:rsid w:val="00BC6405"/>
    <w:rsid w:val="00BC6668"/>
    <w:rsid w:val="00BD4258"/>
    <w:rsid w:val="00BD7CB3"/>
    <w:rsid w:val="00BE33DE"/>
    <w:rsid w:val="00BE388B"/>
    <w:rsid w:val="00BE5F18"/>
    <w:rsid w:val="00BF0273"/>
    <w:rsid w:val="00BF21EB"/>
    <w:rsid w:val="00BF73F5"/>
    <w:rsid w:val="00BF7CA8"/>
    <w:rsid w:val="00C02ABF"/>
    <w:rsid w:val="00C03CBE"/>
    <w:rsid w:val="00C0680C"/>
    <w:rsid w:val="00C07918"/>
    <w:rsid w:val="00C13BB1"/>
    <w:rsid w:val="00C142EA"/>
    <w:rsid w:val="00C2129A"/>
    <w:rsid w:val="00C25F2E"/>
    <w:rsid w:val="00C34517"/>
    <w:rsid w:val="00C35087"/>
    <w:rsid w:val="00C3527E"/>
    <w:rsid w:val="00C36428"/>
    <w:rsid w:val="00C41978"/>
    <w:rsid w:val="00C41E40"/>
    <w:rsid w:val="00C436E1"/>
    <w:rsid w:val="00C46A2B"/>
    <w:rsid w:val="00C46C8C"/>
    <w:rsid w:val="00C51A76"/>
    <w:rsid w:val="00C5764F"/>
    <w:rsid w:val="00C57B53"/>
    <w:rsid w:val="00C60754"/>
    <w:rsid w:val="00C706DB"/>
    <w:rsid w:val="00C71FFC"/>
    <w:rsid w:val="00C7651A"/>
    <w:rsid w:val="00C81DCE"/>
    <w:rsid w:val="00C8493B"/>
    <w:rsid w:val="00C8547B"/>
    <w:rsid w:val="00C86BE8"/>
    <w:rsid w:val="00C9164C"/>
    <w:rsid w:val="00C94C8D"/>
    <w:rsid w:val="00C94F34"/>
    <w:rsid w:val="00C97BD3"/>
    <w:rsid w:val="00CA40EF"/>
    <w:rsid w:val="00CB29C8"/>
    <w:rsid w:val="00CB2B8B"/>
    <w:rsid w:val="00CB4735"/>
    <w:rsid w:val="00CB59C2"/>
    <w:rsid w:val="00CB65FC"/>
    <w:rsid w:val="00CC1A18"/>
    <w:rsid w:val="00CD0052"/>
    <w:rsid w:val="00CD12DE"/>
    <w:rsid w:val="00CD16F8"/>
    <w:rsid w:val="00CD4617"/>
    <w:rsid w:val="00CD6F24"/>
    <w:rsid w:val="00CE5A43"/>
    <w:rsid w:val="00CE73C2"/>
    <w:rsid w:val="00CE7B71"/>
    <w:rsid w:val="00CF0A36"/>
    <w:rsid w:val="00CF2B11"/>
    <w:rsid w:val="00CF6D6B"/>
    <w:rsid w:val="00D00A96"/>
    <w:rsid w:val="00D00C77"/>
    <w:rsid w:val="00D04EEB"/>
    <w:rsid w:val="00D060E9"/>
    <w:rsid w:val="00D06862"/>
    <w:rsid w:val="00D06A11"/>
    <w:rsid w:val="00D11806"/>
    <w:rsid w:val="00D11851"/>
    <w:rsid w:val="00D11B33"/>
    <w:rsid w:val="00D11CD6"/>
    <w:rsid w:val="00D11E26"/>
    <w:rsid w:val="00D1231A"/>
    <w:rsid w:val="00D13A4E"/>
    <w:rsid w:val="00D1668E"/>
    <w:rsid w:val="00D20AF3"/>
    <w:rsid w:val="00D25346"/>
    <w:rsid w:val="00D27F07"/>
    <w:rsid w:val="00D3076E"/>
    <w:rsid w:val="00D3155F"/>
    <w:rsid w:val="00D32FCD"/>
    <w:rsid w:val="00D33567"/>
    <w:rsid w:val="00D34928"/>
    <w:rsid w:val="00D36A8A"/>
    <w:rsid w:val="00D377F6"/>
    <w:rsid w:val="00D40F7D"/>
    <w:rsid w:val="00D41309"/>
    <w:rsid w:val="00D46958"/>
    <w:rsid w:val="00D50EF9"/>
    <w:rsid w:val="00D66130"/>
    <w:rsid w:val="00D6662A"/>
    <w:rsid w:val="00D67AFE"/>
    <w:rsid w:val="00D826EB"/>
    <w:rsid w:val="00D843A1"/>
    <w:rsid w:val="00D851D3"/>
    <w:rsid w:val="00D8569E"/>
    <w:rsid w:val="00D85C59"/>
    <w:rsid w:val="00D86F74"/>
    <w:rsid w:val="00D93823"/>
    <w:rsid w:val="00DA07E9"/>
    <w:rsid w:val="00DA3739"/>
    <w:rsid w:val="00DA486A"/>
    <w:rsid w:val="00DA551E"/>
    <w:rsid w:val="00DA6B3B"/>
    <w:rsid w:val="00DB3E48"/>
    <w:rsid w:val="00DB4F86"/>
    <w:rsid w:val="00DB5115"/>
    <w:rsid w:val="00DB719E"/>
    <w:rsid w:val="00DC0E7C"/>
    <w:rsid w:val="00DC1E09"/>
    <w:rsid w:val="00DC61D3"/>
    <w:rsid w:val="00DD2BEB"/>
    <w:rsid w:val="00DD340E"/>
    <w:rsid w:val="00DD37CE"/>
    <w:rsid w:val="00DD5944"/>
    <w:rsid w:val="00DE0263"/>
    <w:rsid w:val="00DE2BF4"/>
    <w:rsid w:val="00DE5A03"/>
    <w:rsid w:val="00DE5CC6"/>
    <w:rsid w:val="00DF28D3"/>
    <w:rsid w:val="00E00EAA"/>
    <w:rsid w:val="00E036FD"/>
    <w:rsid w:val="00E06FF5"/>
    <w:rsid w:val="00E12E90"/>
    <w:rsid w:val="00E1646B"/>
    <w:rsid w:val="00E24CF7"/>
    <w:rsid w:val="00E25E49"/>
    <w:rsid w:val="00E25E8A"/>
    <w:rsid w:val="00E34210"/>
    <w:rsid w:val="00E379E1"/>
    <w:rsid w:val="00E5124C"/>
    <w:rsid w:val="00E516E4"/>
    <w:rsid w:val="00E52B93"/>
    <w:rsid w:val="00E54C38"/>
    <w:rsid w:val="00E55373"/>
    <w:rsid w:val="00E60DB2"/>
    <w:rsid w:val="00E61ECC"/>
    <w:rsid w:val="00E715E0"/>
    <w:rsid w:val="00E73BB3"/>
    <w:rsid w:val="00E74DE0"/>
    <w:rsid w:val="00E84AD7"/>
    <w:rsid w:val="00E906E0"/>
    <w:rsid w:val="00E92DFC"/>
    <w:rsid w:val="00EA5D3A"/>
    <w:rsid w:val="00EB00A1"/>
    <w:rsid w:val="00EB2BB8"/>
    <w:rsid w:val="00EB7775"/>
    <w:rsid w:val="00EC2047"/>
    <w:rsid w:val="00EC2AAE"/>
    <w:rsid w:val="00ED0504"/>
    <w:rsid w:val="00ED3368"/>
    <w:rsid w:val="00ED43B5"/>
    <w:rsid w:val="00ED492E"/>
    <w:rsid w:val="00ED5BAD"/>
    <w:rsid w:val="00ED660E"/>
    <w:rsid w:val="00ED6FFC"/>
    <w:rsid w:val="00ED74AC"/>
    <w:rsid w:val="00EE1331"/>
    <w:rsid w:val="00EE1BC3"/>
    <w:rsid w:val="00EE74B4"/>
    <w:rsid w:val="00EF66F5"/>
    <w:rsid w:val="00EF7B7E"/>
    <w:rsid w:val="00F0077C"/>
    <w:rsid w:val="00F0363F"/>
    <w:rsid w:val="00F05FDC"/>
    <w:rsid w:val="00F07024"/>
    <w:rsid w:val="00F155C7"/>
    <w:rsid w:val="00F15DEF"/>
    <w:rsid w:val="00F27B9C"/>
    <w:rsid w:val="00F40888"/>
    <w:rsid w:val="00F42E72"/>
    <w:rsid w:val="00F52109"/>
    <w:rsid w:val="00F52CB5"/>
    <w:rsid w:val="00F569C2"/>
    <w:rsid w:val="00F60CD0"/>
    <w:rsid w:val="00F65100"/>
    <w:rsid w:val="00F656AC"/>
    <w:rsid w:val="00F66EFE"/>
    <w:rsid w:val="00F66FD1"/>
    <w:rsid w:val="00F83F32"/>
    <w:rsid w:val="00F8438A"/>
    <w:rsid w:val="00F85883"/>
    <w:rsid w:val="00F875C0"/>
    <w:rsid w:val="00F9387F"/>
    <w:rsid w:val="00F96255"/>
    <w:rsid w:val="00FA25DA"/>
    <w:rsid w:val="00FA26F8"/>
    <w:rsid w:val="00FA381D"/>
    <w:rsid w:val="00FA3E49"/>
    <w:rsid w:val="00FA4464"/>
    <w:rsid w:val="00FA6A16"/>
    <w:rsid w:val="00FB0D6B"/>
    <w:rsid w:val="00FB440E"/>
    <w:rsid w:val="00FB7113"/>
    <w:rsid w:val="00FC3483"/>
    <w:rsid w:val="00FD37CB"/>
    <w:rsid w:val="00FD6629"/>
    <w:rsid w:val="00FE2F33"/>
    <w:rsid w:val="00FE45B2"/>
    <w:rsid w:val="00FE6FF1"/>
    <w:rsid w:val="00FF107A"/>
    <w:rsid w:val="00FF1893"/>
    <w:rsid w:val="00FF719E"/>
    <w:rsid w:val="013670C3"/>
    <w:rsid w:val="017C6D0A"/>
    <w:rsid w:val="02335D38"/>
    <w:rsid w:val="02652262"/>
    <w:rsid w:val="02E70983"/>
    <w:rsid w:val="03092820"/>
    <w:rsid w:val="032B6C3A"/>
    <w:rsid w:val="03522419"/>
    <w:rsid w:val="039C61B3"/>
    <w:rsid w:val="03AE6C6A"/>
    <w:rsid w:val="03B1713F"/>
    <w:rsid w:val="03BD3DD6"/>
    <w:rsid w:val="03FB485E"/>
    <w:rsid w:val="04BF6791"/>
    <w:rsid w:val="04D1736D"/>
    <w:rsid w:val="04E11548"/>
    <w:rsid w:val="05281683"/>
    <w:rsid w:val="055F0B42"/>
    <w:rsid w:val="060A218F"/>
    <w:rsid w:val="060D0B5B"/>
    <w:rsid w:val="06734B80"/>
    <w:rsid w:val="068943A3"/>
    <w:rsid w:val="06DD1E44"/>
    <w:rsid w:val="07247C28"/>
    <w:rsid w:val="07473B2A"/>
    <w:rsid w:val="076C7832"/>
    <w:rsid w:val="078B5EF9"/>
    <w:rsid w:val="07D9053B"/>
    <w:rsid w:val="07F97307"/>
    <w:rsid w:val="085B1D6F"/>
    <w:rsid w:val="087D6E93"/>
    <w:rsid w:val="089550F0"/>
    <w:rsid w:val="09220511"/>
    <w:rsid w:val="094620D8"/>
    <w:rsid w:val="09652EA6"/>
    <w:rsid w:val="0A075D0B"/>
    <w:rsid w:val="0AA4713E"/>
    <w:rsid w:val="0B6251C3"/>
    <w:rsid w:val="0BAD28E2"/>
    <w:rsid w:val="0BF35AAF"/>
    <w:rsid w:val="0BF91683"/>
    <w:rsid w:val="0BF95B27"/>
    <w:rsid w:val="0C067D7C"/>
    <w:rsid w:val="0C390270"/>
    <w:rsid w:val="0C3C3C66"/>
    <w:rsid w:val="0C4F1BEB"/>
    <w:rsid w:val="0C5965C6"/>
    <w:rsid w:val="0C7D0506"/>
    <w:rsid w:val="0CEF15F2"/>
    <w:rsid w:val="0D5F3A7D"/>
    <w:rsid w:val="0D9E6986"/>
    <w:rsid w:val="0DA150F5"/>
    <w:rsid w:val="0DC13B67"/>
    <w:rsid w:val="0DF04D08"/>
    <w:rsid w:val="0E3A1214"/>
    <w:rsid w:val="0E9E4764"/>
    <w:rsid w:val="0EA37FCC"/>
    <w:rsid w:val="0F1D457A"/>
    <w:rsid w:val="0F59068B"/>
    <w:rsid w:val="0FA77AC3"/>
    <w:rsid w:val="0FDC2ED6"/>
    <w:rsid w:val="10C1473A"/>
    <w:rsid w:val="10FE4C73"/>
    <w:rsid w:val="118045F5"/>
    <w:rsid w:val="11B5429E"/>
    <w:rsid w:val="125515DD"/>
    <w:rsid w:val="12B44556"/>
    <w:rsid w:val="12D375B3"/>
    <w:rsid w:val="12D55AFC"/>
    <w:rsid w:val="1310637F"/>
    <w:rsid w:val="13631AD8"/>
    <w:rsid w:val="136A01A5"/>
    <w:rsid w:val="13A740BB"/>
    <w:rsid w:val="14375761"/>
    <w:rsid w:val="148C1B09"/>
    <w:rsid w:val="15415E49"/>
    <w:rsid w:val="15604521"/>
    <w:rsid w:val="158C5316"/>
    <w:rsid w:val="15B8623E"/>
    <w:rsid w:val="17626C76"/>
    <w:rsid w:val="1833416F"/>
    <w:rsid w:val="185360AA"/>
    <w:rsid w:val="18770500"/>
    <w:rsid w:val="18EE62E8"/>
    <w:rsid w:val="18F90F15"/>
    <w:rsid w:val="19445F08"/>
    <w:rsid w:val="19855AE2"/>
    <w:rsid w:val="198C16D7"/>
    <w:rsid w:val="199724DC"/>
    <w:rsid w:val="19F93196"/>
    <w:rsid w:val="1AAB26E2"/>
    <w:rsid w:val="1AD44D54"/>
    <w:rsid w:val="1AF61D06"/>
    <w:rsid w:val="1B397C3B"/>
    <w:rsid w:val="1B634E22"/>
    <w:rsid w:val="1BD47A17"/>
    <w:rsid w:val="1BE7599C"/>
    <w:rsid w:val="1BF316E3"/>
    <w:rsid w:val="1C8925AF"/>
    <w:rsid w:val="1C8B5FB5"/>
    <w:rsid w:val="1D47291D"/>
    <w:rsid w:val="1DCE38B9"/>
    <w:rsid w:val="1DF97386"/>
    <w:rsid w:val="1E1C6B5F"/>
    <w:rsid w:val="1E287572"/>
    <w:rsid w:val="1E3E450B"/>
    <w:rsid w:val="1E6F3720"/>
    <w:rsid w:val="1E911BEF"/>
    <w:rsid w:val="202D3B9A"/>
    <w:rsid w:val="203C7E88"/>
    <w:rsid w:val="20F070A1"/>
    <w:rsid w:val="21170CAE"/>
    <w:rsid w:val="21374CD0"/>
    <w:rsid w:val="213C48A9"/>
    <w:rsid w:val="215F6F2E"/>
    <w:rsid w:val="217C175A"/>
    <w:rsid w:val="21A659B2"/>
    <w:rsid w:val="21AD4F92"/>
    <w:rsid w:val="21CB072E"/>
    <w:rsid w:val="222E3C91"/>
    <w:rsid w:val="22C575CB"/>
    <w:rsid w:val="23173AD9"/>
    <w:rsid w:val="231F3C6E"/>
    <w:rsid w:val="23580F2E"/>
    <w:rsid w:val="244250D8"/>
    <w:rsid w:val="24427FF2"/>
    <w:rsid w:val="24975A86"/>
    <w:rsid w:val="249B5576"/>
    <w:rsid w:val="250F1CF5"/>
    <w:rsid w:val="253A4D8F"/>
    <w:rsid w:val="255143B7"/>
    <w:rsid w:val="25755DC7"/>
    <w:rsid w:val="25C61DD1"/>
    <w:rsid w:val="260158AC"/>
    <w:rsid w:val="265A320F"/>
    <w:rsid w:val="26BB316F"/>
    <w:rsid w:val="26E74AA2"/>
    <w:rsid w:val="273B094A"/>
    <w:rsid w:val="27541C38"/>
    <w:rsid w:val="2790513A"/>
    <w:rsid w:val="284A15DD"/>
    <w:rsid w:val="288A3726"/>
    <w:rsid w:val="2A0B1E3F"/>
    <w:rsid w:val="2A5B6DA1"/>
    <w:rsid w:val="2A7F1496"/>
    <w:rsid w:val="2A855D55"/>
    <w:rsid w:val="2ABB5D9C"/>
    <w:rsid w:val="2B4029D3"/>
    <w:rsid w:val="2B78689F"/>
    <w:rsid w:val="2C8946E4"/>
    <w:rsid w:val="2CDD4252"/>
    <w:rsid w:val="2D1934DC"/>
    <w:rsid w:val="2D240B68"/>
    <w:rsid w:val="2D7E1F4C"/>
    <w:rsid w:val="2D8234D1"/>
    <w:rsid w:val="2DE83BE8"/>
    <w:rsid w:val="2E2C6C3B"/>
    <w:rsid w:val="2E3B554B"/>
    <w:rsid w:val="2EF04710"/>
    <w:rsid w:val="2F2B74F6"/>
    <w:rsid w:val="2FD933F6"/>
    <w:rsid w:val="2FF11D00"/>
    <w:rsid w:val="2FF81ACE"/>
    <w:rsid w:val="31B61C41"/>
    <w:rsid w:val="31D061DA"/>
    <w:rsid w:val="323B5CA2"/>
    <w:rsid w:val="32915F2D"/>
    <w:rsid w:val="32B85F7F"/>
    <w:rsid w:val="32FE76BD"/>
    <w:rsid w:val="334F0F3B"/>
    <w:rsid w:val="338B2C59"/>
    <w:rsid w:val="33EB5165"/>
    <w:rsid w:val="340A0022"/>
    <w:rsid w:val="348F22D5"/>
    <w:rsid w:val="34F565DC"/>
    <w:rsid w:val="35603635"/>
    <w:rsid w:val="35CB45B2"/>
    <w:rsid w:val="369462C9"/>
    <w:rsid w:val="36D10FDE"/>
    <w:rsid w:val="3787198A"/>
    <w:rsid w:val="37955E55"/>
    <w:rsid w:val="386271CD"/>
    <w:rsid w:val="38F37E3C"/>
    <w:rsid w:val="39500E6A"/>
    <w:rsid w:val="3A2636DC"/>
    <w:rsid w:val="3A267238"/>
    <w:rsid w:val="3A377697"/>
    <w:rsid w:val="3A3C7052"/>
    <w:rsid w:val="3A612EBD"/>
    <w:rsid w:val="3A6A181A"/>
    <w:rsid w:val="3AE07FF0"/>
    <w:rsid w:val="3B1F6A97"/>
    <w:rsid w:val="3B20637D"/>
    <w:rsid w:val="3B4C7172"/>
    <w:rsid w:val="3B716BD9"/>
    <w:rsid w:val="3B8C57C0"/>
    <w:rsid w:val="3BC87F01"/>
    <w:rsid w:val="3C6329C5"/>
    <w:rsid w:val="3C7626F9"/>
    <w:rsid w:val="3C853BB1"/>
    <w:rsid w:val="3CDE71C1"/>
    <w:rsid w:val="3D6518EF"/>
    <w:rsid w:val="3DC9102D"/>
    <w:rsid w:val="3E376A44"/>
    <w:rsid w:val="3E573E64"/>
    <w:rsid w:val="3E986F8B"/>
    <w:rsid w:val="3EFE4C27"/>
    <w:rsid w:val="3F05365A"/>
    <w:rsid w:val="3FCA4B09"/>
    <w:rsid w:val="40A53D51"/>
    <w:rsid w:val="40D55514"/>
    <w:rsid w:val="40D8539C"/>
    <w:rsid w:val="41160006"/>
    <w:rsid w:val="41235E82"/>
    <w:rsid w:val="414A78DB"/>
    <w:rsid w:val="414E772B"/>
    <w:rsid w:val="415A6899"/>
    <w:rsid w:val="41652D3C"/>
    <w:rsid w:val="417967E7"/>
    <w:rsid w:val="41AF045B"/>
    <w:rsid w:val="41B65345"/>
    <w:rsid w:val="41E9571B"/>
    <w:rsid w:val="42044303"/>
    <w:rsid w:val="421D3C92"/>
    <w:rsid w:val="4250579A"/>
    <w:rsid w:val="425A3EF7"/>
    <w:rsid w:val="428733DB"/>
    <w:rsid w:val="428C68F4"/>
    <w:rsid w:val="429A2FB4"/>
    <w:rsid w:val="42F843A8"/>
    <w:rsid w:val="438A0837"/>
    <w:rsid w:val="438C2802"/>
    <w:rsid w:val="43913B0C"/>
    <w:rsid w:val="443D58AA"/>
    <w:rsid w:val="444A6219"/>
    <w:rsid w:val="44913E48"/>
    <w:rsid w:val="44DA57EF"/>
    <w:rsid w:val="453C2005"/>
    <w:rsid w:val="454424FD"/>
    <w:rsid w:val="45A2455E"/>
    <w:rsid w:val="45C142B9"/>
    <w:rsid w:val="45C97502"/>
    <w:rsid w:val="464A02CD"/>
    <w:rsid w:val="46666C01"/>
    <w:rsid w:val="476612F2"/>
    <w:rsid w:val="476B3B43"/>
    <w:rsid w:val="478F0446"/>
    <w:rsid w:val="47E75578"/>
    <w:rsid w:val="48321553"/>
    <w:rsid w:val="48582E36"/>
    <w:rsid w:val="48A00AFD"/>
    <w:rsid w:val="48D16F09"/>
    <w:rsid w:val="493F3E72"/>
    <w:rsid w:val="49E24880"/>
    <w:rsid w:val="4A315EB1"/>
    <w:rsid w:val="4A59088D"/>
    <w:rsid w:val="4A7B35D0"/>
    <w:rsid w:val="4B4F7404"/>
    <w:rsid w:val="4B666188"/>
    <w:rsid w:val="4B9C592D"/>
    <w:rsid w:val="4BFA14C1"/>
    <w:rsid w:val="4C053A07"/>
    <w:rsid w:val="4C1451F1"/>
    <w:rsid w:val="4C2F4672"/>
    <w:rsid w:val="4C3A4602"/>
    <w:rsid w:val="4C5E4F57"/>
    <w:rsid w:val="4C975D73"/>
    <w:rsid w:val="4C99450B"/>
    <w:rsid w:val="4CB30DFF"/>
    <w:rsid w:val="4CEC409F"/>
    <w:rsid w:val="4CF20FE3"/>
    <w:rsid w:val="4E301700"/>
    <w:rsid w:val="4E521E5D"/>
    <w:rsid w:val="4E683E6B"/>
    <w:rsid w:val="4E7A47AD"/>
    <w:rsid w:val="4ED11A10"/>
    <w:rsid w:val="4F111E0D"/>
    <w:rsid w:val="4F1E0EFB"/>
    <w:rsid w:val="4F461F35"/>
    <w:rsid w:val="4F495A4B"/>
    <w:rsid w:val="4F5A22FE"/>
    <w:rsid w:val="50125E3D"/>
    <w:rsid w:val="502A762A"/>
    <w:rsid w:val="50605A3C"/>
    <w:rsid w:val="509A7B37"/>
    <w:rsid w:val="50A05B3E"/>
    <w:rsid w:val="515E6E11"/>
    <w:rsid w:val="51BE71D7"/>
    <w:rsid w:val="51E7154B"/>
    <w:rsid w:val="524A4C95"/>
    <w:rsid w:val="537A44F5"/>
    <w:rsid w:val="537B63EF"/>
    <w:rsid w:val="5386726D"/>
    <w:rsid w:val="541C1980"/>
    <w:rsid w:val="541C2D96"/>
    <w:rsid w:val="5457341F"/>
    <w:rsid w:val="545A24A8"/>
    <w:rsid w:val="547E6196"/>
    <w:rsid w:val="5488750A"/>
    <w:rsid w:val="54943C67"/>
    <w:rsid w:val="5495528E"/>
    <w:rsid w:val="554F0116"/>
    <w:rsid w:val="55BA1450"/>
    <w:rsid w:val="55E42BC2"/>
    <w:rsid w:val="57486385"/>
    <w:rsid w:val="57795D42"/>
    <w:rsid w:val="583C439E"/>
    <w:rsid w:val="58887ECF"/>
    <w:rsid w:val="595B6AA6"/>
    <w:rsid w:val="59993190"/>
    <w:rsid w:val="59B10927"/>
    <w:rsid w:val="5A6265DD"/>
    <w:rsid w:val="5A93654C"/>
    <w:rsid w:val="5ABF12B7"/>
    <w:rsid w:val="5ADB26E6"/>
    <w:rsid w:val="5BEC7E8A"/>
    <w:rsid w:val="5C1F5916"/>
    <w:rsid w:val="5C2921BD"/>
    <w:rsid w:val="5CCB7A9F"/>
    <w:rsid w:val="5CD04EEC"/>
    <w:rsid w:val="5CD22DB7"/>
    <w:rsid w:val="5D017965"/>
    <w:rsid w:val="5D331AE8"/>
    <w:rsid w:val="5D37587D"/>
    <w:rsid w:val="5DA537E8"/>
    <w:rsid w:val="5DDD2180"/>
    <w:rsid w:val="5E88676E"/>
    <w:rsid w:val="5EA20CD3"/>
    <w:rsid w:val="5EBC1F78"/>
    <w:rsid w:val="5EFD5F0A"/>
    <w:rsid w:val="5F1F0576"/>
    <w:rsid w:val="5F327E65"/>
    <w:rsid w:val="60157C87"/>
    <w:rsid w:val="602351F5"/>
    <w:rsid w:val="602C3C80"/>
    <w:rsid w:val="60796BB5"/>
    <w:rsid w:val="60AF76D8"/>
    <w:rsid w:val="60E81CA0"/>
    <w:rsid w:val="614044DF"/>
    <w:rsid w:val="61A11716"/>
    <w:rsid w:val="61C96577"/>
    <w:rsid w:val="620F48D2"/>
    <w:rsid w:val="621243C2"/>
    <w:rsid w:val="62864468"/>
    <w:rsid w:val="62FB15C2"/>
    <w:rsid w:val="6352042E"/>
    <w:rsid w:val="63DD630A"/>
    <w:rsid w:val="63DE2E00"/>
    <w:rsid w:val="643A712A"/>
    <w:rsid w:val="64A5151D"/>
    <w:rsid w:val="64AD03D2"/>
    <w:rsid w:val="64AD3F2E"/>
    <w:rsid w:val="64CF6311"/>
    <w:rsid w:val="65200BA4"/>
    <w:rsid w:val="657D6F6E"/>
    <w:rsid w:val="65C14135"/>
    <w:rsid w:val="65CE0600"/>
    <w:rsid w:val="66464EB2"/>
    <w:rsid w:val="6678063D"/>
    <w:rsid w:val="669C0748"/>
    <w:rsid w:val="671B7875"/>
    <w:rsid w:val="67AF179C"/>
    <w:rsid w:val="6804655B"/>
    <w:rsid w:val="680E6F0D"/>
    <w:rsid w:val="687E4011"/>
    <w:rsid w:val="692F585A"/>
    <w:rsid w:val="6A301889"/>
    <w:rsid w:val="6A845B36"/>
    <w:rsid w:val="6B1E5B86"/>
    <w:rsid w:val="6B2F7D93"/>
    <w:rsid w:val="6B7F68D5"/>
    <w:rsid w:val="6C362995"/>
    <w:rsid w:val="6C4C5516"/>
    <w:rsid w:val="6C4E0462"/>
    <w:rsid w:val="6C601609"/>
    <w:rsid w:val="6C783074"/>
    <w:rsid w:val="6D33485A"/>
    <w:rsid w:val="6DBB2CAB"/>
    <w:rsid w:val="6DC70052"/>
    <w:rsid w:val="6E7E5CE9"/>
    <w:rsid w:val="6E936473"/>
    <w:rsid w:val="6EE3511C"/>
    <w:rsid w:val="6F2A4AF9"/>
    <w:rsid w:val="70875F7B"/>
    <w:rsid w:val="70950698"/>
    <w:rsid w:val="70BD12CC"/>
    <w:rsid w:val="70F403ED"/>
    <w:rsid w:val="710475CC"/>
    <w:rsid w:val="71B132B0"/>
    <w:rsid w:val="724D1D39"/>
    <w:rsid w:val="73025471"/>
    <w:rsid w:val="73137F9A"/>
    <w:rsid w:val="738238D4"/>
    <w:rsid w:val="73A3131E"/>
    <w:rsid w:val="74145D78"/>
    <w:rsid w:val="741B7106"/>
    <w:rsid w:val="747A6E7E"/>
    <w:rsid w:val="74F51705"/>
    <w:rsid w:val="750162FC"/>
    <w:rsid w:val="7513713C"/>
    <w:rsid w:val="75770E76"/>
    <w:rsid w:val="75AA330D"/>
    <w:rsid w:val="75D851E8"/>
    <w:rsid w:val="75D94865"/>
    <w:rsid w:val="76536573"/>
    <w:rsid w:val="768321D3"/>
    <w:rsid w:val="76A84616"/>
    <w:rsid w:val="76B92C06"/>
    <w:rsid w:val="777059BB"/>
    <w:rsid w:val="777E59AC"/>
    <w:rsid w:val="778D20C9"/>
    <w:rsid w:val="779C40BA"/>
    <w:rsid w:val="77B44FFD"/>
    <w:rsid w:val="77DE793F"/>
    <w:rsid w:val="77E1739A"/>
    <w:rsid w:val="78A51694"/>
    <w:rsid w:val="78EE11C7"/>
    <w:rsid w:val="79091C23"/>
    <w:rsid w:val="79874551"/>
    <w:rsid w:val="799F7E92"/>
    <w:rsid w:val="79AC6AC3"/>
    <w:rsid w:val="79B06543"/>
    <w:rsid w:val="7A010B4C"/>
    <w:rsid w:val="7A4822D7"/>
    <w:rsid w:val="7A6D00ED"/>
    <w:rsid w:val="7AEC3CB8"/>
    <w:rsid w:val="7B1B5C3E"/>
    <w:rsid w:val="7BB345F3"/>
    <w:rsid w:val="7BF81ADB"/>
    <w:rsid w:val="7C10229D"/>
    <w:rsid w:val="7C576352"/>
    <w:rsid w:val="7C93300A"/>
    <w:rsid w:val="7CB77BE8"/>
    <w:rsid w:val="7CDD764F"/>
    <w:rsid w:val="7DB14637"/>
    <w:rsid w:val="7DED1B13"/>
    <w:rsid w:val="7E61605D"/>
    <w:rsid w:val="7E886BE2"/>
    <w:rsid w:val="7F022D62"/>
    <w:rsid w:val="7F2B63C8"/>
    <w:rsid w:val="7F904A5F"/>
    <w:rsid w:val="7FB734A4"/>
    <w:rsid w:val="7FF00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14:docId w14:val="095270B7"/>
  <w15:docId w15:val="{3C212DEE-81AA-4F67-9381-1A8137BD2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qFormat="1"/>
    <w:lsdException w:name="line number" w:semiHidden="1" w:unhideWhenUsed="1" w:qFormat="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kern w:val="0"/>
      <w:sz w:val="32"/>
      <w:szCs w:val="32"/>
    </w:rPr>
  </w:style>
  <w:style w:type="paragraph" w:styleId="5">
    <w:name w:val="heading 5"/>
    <w:basedOn w:val="a"/>
    <w:next w:val="a"/>
    <w:uiPriority w:val="9"/>
    <w:unhideWhenUsed/>
    <w:qFormat/>
    <w:pPr>
      <w:keepNext/>
      <w:keepLines/>
      <w:spacing w:before="40"/>
      <w:outlineLvl w:val="4"/>
    </w:pPr>
    <w:rPr>
      <w:rFonts w:ascii="Cambria" w:hAnsi="Cambria"/>
      <w:color w:val="3660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rPr>
      <w:kern w:val="0"/>
      <w:sz w:val="20"/>
      <w:szCs w:val="20"/>
    </w:rPr>
  </w:style>
  <w:style w:type="paragraph" w:styleId="a5">
    <w:name w:val="Body Text"/>
    <w:basedOn w:val="a"/>
    <w:uiPriority w:val="1"/>
    <w:qFormat/>
    <w:pPr>
      <w:ind w:left="100"/>
    </w:pPr>
    <w:rPr>
      <w:rFonts w:ascii="宋体" w:hAnsi="宋体" w:cs="宋体"/>
      <w:sz w:val="24"/>
      <w:szCs w:val="24"/>
      <w:lang w:val="zh-CN" w:bidi="zh-CN"/>
    </w:rPr>
  </w:style>
  <w:style w:type="paragraph" w:styleId="a6">
    <w:name w:val="Plain Text"/>
    <w:basedOn w:val="a"/>
    <w:uiPriority w:val="99"/>
    <w:qFormat/>
    <w:rPr>
      <w:rFonts w:ascii="宋体" w:hAnsi="Courier New" w:cs="宋体"/>
      <w:kern w:val="0"/>
      <w:sz w:val="20"/>
      <w:szCs w:val="20"/>
    </w:rPr>
  </w:style>
  <w:style w:type="paragraph" w:styleId="a7">
    <w:name w:val="endnote text"/>
    <w:basedOn w:val="a"/>
    <w:link w:val="a8"/>
    <w:uiPriority w:val="99"/>
    <w:unhideWhenUsed/>
    <w:qFormat/>
    <w:pPr>
      <w:snapToGrid w:val="0"/>
      <w:jc w:val="left"/>
    </w:pPr>
  </w:style>
  <w:style w:type="paragraph" w:styleId="a9">
    <w:name w:val="Balloon Text"/>
    <w:basedOn w:val="a"/>
    <w:link w:val="aa"/>
    <w:uiPriority w:val="99"/>
    <w:unhideWhenUsed/>
    <w:qFormat/>
    <w:rPr>
      <w:kern w:val="0"/>
      <w:sz w:val="18"/>
      <w:szCs w:val="18"/>
    </w:rPr>
  </w:style>
  <w:style w:type="paragraph" w:styleId="ab">
    <w:name w:val="footer"/>
    <w:basedOn w:val="a"/>
    <w:link w:val="ac"/>
    <w:uiPriority w:val="99"/>
    <w:unhideWhenUsed/>
    <w:qFormat/>
    <w:pPr>
      <w:tabs>
        <w:tab w:val="center" w:pos="4153"/>
        <w:tab w:val="right" w:pos="8306"/>
      </w:tabs>
      <w:snapToGrid w:val="0"/>
      <w:jc w:val="left"/>
    </w:pPr>
    <w:rPr>
      <w:kern w:val="0"/>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f">
    <w:name w:val="footnote text"/>
    <w:basedOn w:val="a"/>
    <w:link w:val="af0"/>
    <w:uiPriority w:val="99"/>
    <w:unhideWhenUsed/>
    <w:qFormat/>
    <w:pPr>
      <w:snapToGrid w:val="0"/>
      <w:jc w:val="left"/>
    </w:pPr>
    <w:rPr>
      <w:sz w:val="18"/>
      <w:szCs w:val="18"/>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2">
    <w:name w:val="annotation subject"/>
    <w:basedOn w:val="a3"/>
    <w:next w:val="a3"/>
    <w:link w:val="af3"/>
    <w:uiPriority w:val="99"/>
    <w:unhideWhenUsed/>
    <w:qFormat/>
    <w:rPr>
      <w:b/>
      <w:bCs/>
      <w:kern w:val="2"/>
      <w:sz w:val="21"/>
      <w:szCs w:val="22"/>
    </w:rPr>
  </w:style>
  <w:style w:type="table" w:styleId="af4">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ndnote reference"/>
    <w:uiPriority w:val="99"/>
    <w:unhideWhenUsed/>
    <w:qFormat/>
    <w:rPr>
      <w:vertAlign w:val="superscript"/>
    </w:rPr>
  </w:style>
  <w:style w:type="character" w:styleId="af6">
    <w:name w:val="Emphasis"/>
    <w:basedOn w:val="a0"/>
    <w:uiPriority w:val="20"/>
    <w:qFormat/>
    <w:rPr>
      <w:i/>
    </w:rPr>
  </w:style>
  <w:style w:type="character" w:styleId="af7">
    <w:name w:val="line number"/>
    <w:basedOn w:val="a0"/>
    <w:uiPriority w:val="99"/>
    <w:semiHidden/>
    <w:unhideWhenUsed/>
    <w:qFormat/>
  </w:style>
  <w:style w:type="character" w:styleId="af8">
    <w:name w:val="annotation reference"/>
    <w:qFormat/>
    <w:rPr>
      <w:sz w:val="21"/>
      <w:szCs w:val="21"/>
    </w:rPr>
  </w:style>
  <w:style w:type="character" w:styleId="af9">
    <w:name w:val="footnote reference"/>
    <w:uiPriority w:val="99"/>
    <w:unhideWhenUsed/>
    <w:qFormat/>
    <w:rPr>
      <w:vertAlign w:val="superscript"/>
    </w:rPr>
  </w:style>
  <w:style w:type="character" w:customStyle="1" w:styleId="10">
    <w:name w:val="标题 1 字符"/>
    <w:link w:val="1"/>
    <w:uiPriority w:val="9"/>
    <w:qFormat/>
    <w:rPr>
      <w:b/>
      <w:bCs/>
      <w:kern w:val="44"/>
      <w:sz w:val="44"/>
      <w:szCs w:val="44"/>
    </w:rPr>
  </w:style>
  <w:style w:type="character" w:customStyle="1" w:styleId="20">
    <w:name w:val="标题 2 字符"/>
    <w:link w:val="2"/>
    <w:uiPriority w:val="9"/>
    <w:qFormat/>
    <w:rPr>
      <w:rFonts w:ascii="Cambria" w:eastAsia="宋体" w:hAnsi="Cambria" w:cs="Times New Roman"/>
      <w:b/>
      <w:bCs/>
      <w:sz w:val="32"/>
      <w:szCs w:val="32"/>
    </w:rPr>
  </w:style>
  <w:style w:type="character" w:customStyle="1" w:styleId="a4">
    <w:name w:val="批注文字 字符"/>
    <w:link w:val="a3"/>
    <w:uiPriority w:val="99"/>
    <w:semiHidden/>
    <w:qFormat/>
  </w:style>
  <w:style w:type="character" w:customStyle="1" w:styleId="a8">
    <w:name w:val="尾注文本 字符"/>
    <w:link w:val="a7"/>
    <w:uiPriority w:val="99"/>
    <w:semiHidden/>
    <w:qFormat/>
    <w:rPr>
      <w:kern w:val="2"/>
      <w:sz w:val="21"/>
      <w:szCs w:val="22"/>
    </w:rPr>
  </w:style>
  <w:style w:type="character" w:customStyle="1" w:styleId="aa">
    <w:name w:val="批注框文本 字符"/>
    <w:link w:val="a9"/>
    <w:uiPriority w:val="99"/>
    <w:semiHidden/>
    <w:qFormat/>
    <w:rPr>
      <w:sz w:val="18"/>
      <w:szCs w:val="18"/>
    </w:rPr>
  </w:style>
  <w:style w:type="character" w:customStyle="1" w:styleId="ac">
    <w:name w:val="页脚 字符"/>
    <w:link w:val="ab"/>
    <w:uiPriority w:val="99"/>
    <w:qFormat/>
    <w:rPr>
      <w:sz w:val="18"/>
      <w:szCs w:val="18"/>
    </w:rPr>
  </w:style>
  <w:style w:type="character" w:customStyle="1" w:styleId="ae">
    <w:name w:val="页眉 字符"/>
    <w:link w:val="ad"/>
    <w:uiPriority w:val="99"/>
    <w:qFormat/>
    <w:rPr>
      <w:sz w:val="18"/>
      <w:szCs w:val="18"/>
    </w:rPr>
  </w:style>
  <w:style w:type="character" w:customStyle="1" w:styleId="af0">
    <w:name w:val="脚注文本 字符"/>
    <w:link w:val="af"/>
    <w:uiPriority w:val="99"/>
    <w:semiHidden/>
    <w:qFormat/>
    <w:rPr>
      <w:kern w:val="2"/>
      <w:sz w:val="18"/>
      <w:szCs w:val="18"/>
    </w:rPr>
  </w:style>
  <w:style w:type="character" w:customStyle="1" w:styleId="af3">
    <w:name w:val="批注主题 字符"/>
    <w:link w:val="af2"/>
    <w:uiPriority w:val="99"/>
    <w:semiHidden/>
    <w:qFormat/>
    <w:rPr>
      <w:rFonts w:ascii="Calibri" w:hAnsi="Calibri"/>
      <w:b/>
      <w:bCs/>
      <w:kern w:val="2"/>
      <w:sz w:val="21"/>
      <w:szCs w:val="22"/>
    </w:rPr>
  </w:style>
  <w:style w:type="character" w:customStyle="1" w:styleId="Char">
    <w:name w:val="批注文字 Char"/>
    <w:uiPriority w:val="99"/>
    <w:qFormat/>
    <w:rPr>
      <w:rFonts w:ascii="Calibri" w:hAnsi="Calibri"/>
    </w:rPr>
  </w:style>
  <w:style w:type="character" w:customStyle="1" w:styleId="fontstyle01">
    <w:name w:val="fontstyle01"/>
    <w:qFormat/>
    <w:rPr>
      <w:rFonts w:ascii="Verdana" w:hAnsi="Verdana" w:hint="default"/>
      <w:b/>
      <w:bCs/>
      <w:color w:val="000000"/>
      <w:sz w:val="18"/>
      <w:szCs w:val="18"/>
    </w:rPr>
  </w:style>
  <w:style w:type="paragraph" w:styleId="afa">
    <w:name w:val="List Paragraph"/>
    <w:basedOn w:val="a"/>
    <w:uiPriority w:val="1"/>
    <w:qFormat/>
    <w:pPr>
      <w:ind w:left="824" w:hanging="529"/>
    </w:pPr>
    <w:rPr>
      <w:rFonts w:ascii="宋体" w:hAnsi="宋体" w:cs="宋体"/>
      <w:lang w:val="zh-CN" w:bidi="zh-CN"/>
    </w:rPr>
  </w:style>
  <w:style w:type="paragraph" w:customStyle="1" w:styleId="TableParagraph">
    <w:name w:val="Table Paragraph"/>
    <w:basedOn w:val="a"/>
    <w:uiPriority w:val="1"/>
    <w:qFormat/>
    <w:pPr>
      <w:spacing w:line="215" w:lineRule="exact"/>
      <w:ind w:left="110"/>
      <w:jc w:val="center"/>
    </w:pPr>
    <w:rPr>
      <w:rFonts w:ascii="宋体" w:hAnsi="宋体" w:cs="宋体"/>
      <w:lang w:val="zh-CN" w:bidi="zh-CN"/>
    </w:rPr>
  </w:style>
  <w:style w:type="character" w:customStyle="1" w:styleId="font21">
    <w:name w:val="font21"/>
    <w:basedOn w:val="a0"/>
    <w:qFormat/>
    <w:rPr>
      <w:rFonts w:ascii="黑体" w:eastAsia="黑体" w:hAnsi="宋体" w:cs="黑体"/>
      <w:b/>
      <w:bCs/>
      <w:color w:val="000000"/>
      <w:sz w:val="12"/>
      <w:szCs w:val="12"/>
      <w:u w:val="none"/>
    </w:rPr>
  </w:style>
  <w:style w:type="character" w:customStyle="1" w:styleId="font51">
    <w:name w:val="font51"/>
    <w:basedOn w:val="a0"/>
    <w:qFormat/>
    <w:rPr>
      <w:rFonts w:ascii="黑体" w:eastAsia="黑体" w:hAnsi="宋体" w:cs="黑体"/>
      <w:color w:val="000000"/>
      <w:sz w:val="12"/>
      <w:szCs w:val="12"/>
      <w:u w:val="none"/>
    </w:rPr>
  </w:style>
  <w:style w:type="character" w:customStyle="1" w:styleId="font71">
    <w:name w:val="font71"/>
    <w:basedOn w:val="a0"/>
    <w:qFormat/>
    <w:rPr>
      <w:rFonts w:ascii="宋体" w:eastAsia="宋体" w:hAnsi="宋体" w:cs="宋体"/>
      <w:b/>
      <w:bCs/>
      <w:color w:val="000000"/>
      <w:sz w:val="10"/>
      <w:szCs w:val="10"/>
      <w:u w:val="none"/>
    </w:rPr>
  </w:style>
  <w:style w:type="character" w:customStyle="1" w:styleId="font61">
    <w:name w:val="font61"/>
    <w:basedOn w:val="a0"/>
    <w:qFormat/>
    <w:rPr>
      <w:rFonts w:ascii="宋体" w:eastAsia="宋体" w:hAnsi="宋体" w:cs="宋体"/>
      <w:color w:val="000000"/>
      <w:sz w:val="10"/>
      <w:szCs w:val="10"/>
      <w:u w:val="none"/>
    </w:rPr>
  </w:style>
  <w:style w:type="character" w:customStyle="1" w:styleId="font41">
    <w:name w:val="font41"/>
    <w:basedOn w:val="a0"/>
    <w:qFormat/>
    <w:rPr>
      <w:rFonts w:ascii="宋体" w:eastAsia="宋体" w:hAnsi="宋体" w:cs="宋体"/>
      <w:color w:val="000000"/>
      <w:sz w:val="12"/>
      <w:szCs w:val="12"/>
      <w:u w:val="none"/>
    </w:rPr>
  </w:style>
  <w:style w:type="character" w:customStyle="1" w:styleId="font31">
    <w:name w:val="font31"/>
    <w:basedOn w:val="a0"/>
    <w:qFormat/>
    <w:rPr>
      <w:rFonts w:ascii="宋体" w:eastAsia="宋体" w:hAnsi="宋体" w:cs="宋体"/>
      <w:b/>
      <w:bCs/>
      <w:color w:val="000000"/>
      <w:sz w:val="12"/>
      <w:szCs w:val="12"/>
      <w:u w:val="none"/>
    </w:rPr>
  </w:style>
  <w:style w:type="character" w:customStyle="1" w:styleId="font11">
    <w:name w:val="font11"/>
    <w:basedOn w:val="a0"/>
    <w:qFormat/>
    <w:rPr>
      <w:rFonts w:ascii="宋体" w:eastAsia="宋体" w:hAnsi="宋体" w:cs="宋体"/>
      <w:color w:val="000000"/>
      <w:sz w:val="8"/>
      <w:szCs w:val="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355</Words>
  <Characters>2024</Characters>
  <Application>Microsoft Office Word</Application>
  <DocSecurity>0</DocSecurity>
  <Lines>16</Lines>
  <Paragraphs>4</Paragraphs>
  <ScaleCrop>false</ScaleCrop>
  <Company>Microsoft</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陈蕾</cp:lastModifiedBy>
  <cp:revision>19</cp:revision>
  <cp:lastPrinted>2023-06-23T07:41:00Z</cp:lastPrinted>
  <dcterms:created xsi:type="dcterms:W3CDTF">2021-12-28T13:06:00Z</dcterms:created>
  <dcterms:modified xsi:type="dcterms:W3CDTF">2023-08-04T07:23:00Z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B6A685BB7AFD45C69159CF37DC586295_13</vt:lpwstr>
  </property>
</Properties>
</file>