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5AC" w:rsidRDefault="00426863">
      <w:pPr>
        <w:spacing w:line="360" w:lineRule="auto"/>
        <w:jc w:val="center"/>
        <w:rPr>
          <w:rFonts w:eastAsia="黑体"/>
          <w:b/>
          <w:bCs/>
          <w:sz w:val="32"/>
          <w:szCs w:val="32"/>
        </w:rPr>
      </w:pPr>
      <w:r>
        <w:rPr>
          <w:rFonts w:eastAsia="黑体"/>
          <w:b/>
          <w:bCs/>
          <w:sz w:val="32"/>
          <w:szCs w:val="32"/>
        </w:rPr>
        <w:t xml:space="preserve">5403  </w:t>
      </w:r>
      <w:r>
        <w:rPr>
          <w:rFonts w:eastAsia="黑体"/>
          <w:b/>
          <w:bCs/>
          <w:sz w:val="32"/>
          <w:szCs w:val="32"/>
        </w:rPr>
        <w:t>外用制剂用铁盒及盖</w:t>
      </w:r>
    </w:p>
    <w:p w:rsidR="009665AC" w:rsidRDefault="00426863">
      <w:pPr>
        <w:spacing w:line="360" w:lineRule="auto"/>
        <w:rPr>
          <w:rFonts w:hAnsi="宋体"/>
          <w:b/>
          <w:color w:val="000000"/>
          <w:sz w:val="24"/>
          <w:szCs w:val="24"/>
        </w:rPr>
      </w:pPr>
      <w:r>
        <w:rPr>
          <w:rFonts w:hAnsi="宋体" w:hint="eastAsia"/>
          <w:b/>
          <w:color w:val="000000"/>
          <w:sz w:val="24"/>
          <w:szCs w:val="24"/>
        </w:rPr>
        <w:t>1</w:t>
      </w:r>
      <w:r>
        <w:rPr>
          <w:rFonts w:hAnsi="宋体" w:hint="eastAsia"/>
          <w:b/>
          <w:color w:val="000000"/>
          <w:sz w:val="24"/>
          <w:szCs w:val="24"/>
        </w:rPr>
        <w:t>范围</w:t>
      </w:r>
    </w:p>
    <w:p w:rsidR="009665AC" w:rsidRDefault="00426863">
      <w:pPr>
        <w:spacing w:line="360" w:lineRule="auto"/>
        <w:ind w:firstLineChars="200" w:firstLine="480"/>
        <w:rPr>
          <w:color w:val="000000"/>
          <w:sz w:val="24"/>
          <w:szCs w:val="24"/>
        </w:rPr>
      </w:pPr>
      <w:r>
        <w:rPr>
          <w:rFonts w:hAnsi="宋体"/>
          <w:color w:val="000000"/>
          <w:sz w:val="24"/>
          <w:szCs w:val="24"/>
        </w:rPr>
        <w:t>本</w:t>
      </w:r>
      <w:r>
        <w:rPr>
          <w:rFonts w:hAnsi="宋体" w:hint="eastAsia"/>
          <w:color w:val="000000"/>
          <w:sz w:val="24"/>
          <w:szCs w:val="24"/>
        </w:rPr>
        <w:t>通则</w:t>
      </w:r>
      <w:r>
        <w:rPr>
          <w:rFonts w:hAnsi="宋体"/>
          <w:color w:val="000000"/>
          <w:sz w:val="24"/>
          <w:szCs w:val="24"/>
        </w:rPr>
        <w:t>适用于</w:t>
      </w:r>
      <w:r>
        <w:rPr>
          <w:rFonts w:hAnsi="宋体" w:hint="eastAsia"/>
          <w:color w:val="000000"/>
          <w:sz w:val="24"/>
          <w:szCs w:val="24"/>
        </w:rPr>
        <w:t>外用</w:t>
      </w:r>
      <w:r>
        <w:rPr>
          <w:rFonts w:hAnsi="宋体"/>
          <w:color w:val="000000"/>
          <w:sz w:val="24"/>
          <w:szCs w:val="24"/>
        </w:rPr>
        <w:t>制剂用铁盒及盖</w:t>
      </w:r>
      <w:r>
        <w:rPr>
          <w:sz w:val="24"/>
          <w:szCs w:val="24"/>
        </w:rPr>
        <w:t>研发、生产、使用、质量控制时应当符合的基本要求。</w:t>
      </w:r>
    </w:p>
    <w:p w:rsidR="009665AC" w:rsidRDefault="00426863">
      <w:pPr>
        <w:spacing w:line="360" w:lineRule="auto"/>
        <w:rPr>
          <w:b/>
          <w:sz w:val="24"/>
          <w:szCs w:val="24"/>
        </w:rPr>
      </w:pPr>
      <w:r>
        <w:rPr>
          <w:rFonts w:hint="eastAsia"/>
          <w:b/>
          <w:sz w:val="24"/>
          <w:szCs w:val="24"/>
        </w:rPr>
        <w:t xml:space="preserve">2 </w:t>
      </w:r>
      <w:r>
        <w:rPr>
          <w:rFonts w:hint="eastAsia"/>
          <w:b/>
          <w:sz w:val="24"/>
          <w:szCs w:val="24"/>
        </w:rPr>
        <w:t>规范性引用文件</w:t>
      </w:r>
      <w:r>
        <w:rPr>
          <w:rFonts w:hint="eastAsia"/>
          <w:b/>
          <w:sz w:val="24"/>
          <w:szCs w:val="24"/>
        </w:rPr>
        <w:t xml:space="preserve"> </w:t>
      </w:r>
    </w:p>
    <w:p w:rsidR="009665AC" w:rsidRDefault="00426863">
      <w:pPr>
        <w:spacing w:line="360" w:lineRule="auto"/>
        <w:ind w:firstLineChars="200" w:firstLine="480"/>
        <w:rPr>
          <w:rFonts w:ascii="宋体" w:hAnsi="宋体"/>
          <w:bCs/>
          <w:color w:val="000000"/>
          <w:sz w:val="24"/>
          <w:szCs w:val="24"/>
        </w:rPr>
      </w:pPr>
      <w:bookmarkStart w:id="0" w:name="_Hlk106876611"/>
      <w:r>
        <w:rPr>
          <w:rFonts w:ascii="宋体" w:hAnsi="宋体" w:hint="eastAsia"/>
          <w:bCs/>
          <w:color w:val="000000"/>
          <w:sz w:val="24"/>
          <w:szCs w:val="24"/>
        </w:rPr>
        <w:t>下列文件中的内容通过文中的规范性引用而构成本通则必不可少的条款。其最新版本（包括增补本、勘误表等形式）适用于本通则。</w:t>
      </w:r>
    </w:p>
    <w:p w:rsidR="009665AC" w:rsidRDefault="00426863">
      <w:pPr>
        <w:spacing w:line="360" w:lineRule="auto"/>
        <w:ind w:firstLineChars="200" w:firstLine="480"/>
        <w:rPr>
          <w:rFonts w:ascii="宋体" w:hAnsi="宋体"/>
          <w:bCs/>
          <w:color w:val="000000"/>
          <w:sz w:val="24"/>
          <w:szCs w:val="24"/>
        </w:rPr>
      </w:pPr>
      <w:bookmarkStart w:id="1" w:name="_Hlk117499070"/>
      <w:r>
        <w:rPr>
          <w:sz w:val="24"/>
          <w:szCs w:val="24"/>
        </w:rPr>
        <w:t>通则</w:t>
      </w:r>
      <w:r>
        <w:rPr>
          <w:rFonts w:hint="eastAsia"/>
          <w:sz w:val="24"/>
          <w:szCs w:val="24"/>
        </w:rPr>
        <w:t xml:space="preserve"> 5400</w:t>
      </w:r>
      <w:r>
        <w:rPr>
          <w:rFonts w:hint="eastAsia"/>
          <w:sz w:val="24"/>
          <w:szCs w:val="24"/>
        </w:rPr>
        <w:t>药品包装用金属组件和容器通则</w:t>
      </w:r>
      <w:bookmarkEnd w:id="1"/>
      <w:r>
        <w:rPr>
          <w:rFonts w:hint="eastAsia"/>
          <w:sz w:val="24"/>
          <w:szCs w:val="24"/>
        </w:rPr>
        <w:t>（已上网征求意见）</w:t>
      </w:r>
    </w:p>
    <w:bookmarkEnd w:id="0"/>
    <w:p w:rsidR="009665AC" w:rsidRDefault="00426863">
      <w:pPr>
        <w:spacing w:line="360" w:lineRule="auto"/>
        <w:ind w:firstLineChars="200" w:firstLine="480"/>
        <w:rPr>
          <w:sz w:val="24"/>
          <w:szCs w:val="24"/>
        </w:rPr>
      </w:pPr>
      <w:r>
        <w:rPr>
          <w:rFonts w:hint="eastAsia"/>
          <w:sz w:val="24"/>
          <w:szCs w:val="24"/>
        </w:rPr>
        <w:t>指导原则</w:t>
      </w:r>
      <w:r>
        <w:rPr>
          <w:rFonts w:hint="eastAsia"/>
          <w:sz w:val="24"/>
          <w:szCs w:val="24"/>
        </w:rPr>
        <w:t xml:space="preserve">9652  </w:t>
      </w:r>
      <w:r>
        <w:rPr>
          <w:rFonts w:hint="eastAsia"/>
          <w:sz w:val="24"/>
          <w:szCs w:val="24"/>
        </w:rPr>
        <w:t>药包材检验规则指导原则（已上网征求意见）</w:t>
      </w:r>
    </w:p>
    <w:p w:rsidR="009665AC" w:rsidRDefault="00426863">
      <w:pPr>
        <w:spacing w:line="360" w:lineRule="auto"/>
        <w:rPr>
          <w:b/>
          <w:bCs/>
          <w:sz w:val="24"/>
          <w:szCs w:val="24"/>
        </w:rPr>
      </w:pPr>
      <w:r>
        <w:rPr>
          <w:rFonts w:hint="eastAsia"/>
          <w:b/>
          <w:bCs/>
          <w:sz w:val="24"/>
          <w:szCs w:val="24"/>
        </w:rPr>
        <w:t xml:space="preserve">3 </w:t>
      </w:r>
      <w:r>
        <w:rPr>
          <w:rFonts w:hint="eastAsia"/>
          <w:b/>
          <w:bCs/>
          <w:sz w:val="24"/>
          <w:szCs w:val="24"/>
        </w:rPr>
        <w:t>技术要求</w:t>
      </w:r>
    </w:p>
    <w:p w:rsidR="009665AC" w:rsidRDefault="00426863">
      <w:pPr>
        <w:spacing w:line="360" w:lineRule="auto"/>
        <w:rPr>
          <w:b/>
          <w:bCs/>
          <w:sz w:val="24"/>
          <w:szCs w:val="24"/>
        </w:rPr>
      </w:pPr>
      <w:r>
        <w:rPr>
          <w:b/>
          <w:bCs/>
          <w:sz w:val="24"/>
          <w:szCs w:val="24"/>
        </w:rPr>
        <w:t>3.1</w:t>
      </w:r>
      <w:r>
        <w:rPr>
          <w:rFonts w:hint="eastAsia"/>
          <w:b/>
          <w:bCs/>
          <w:sz w:val="24"/>
          <w:szCs w:val="24"/>
        </w:rPr>
        <w:t>总体要求</w:t>
      </w:r>
    </w:p>
    <w:p w:rsidR="009665AC" w:rsidRDefault="00426863">
      <w:pPr>
        <w:spacing w:line="360" w:lineRule="auto"/>
        <w:ind w:firstLineChars="200" w:firstLine="480"/>
        <w:rPr>
          <w:sz w:val="24"/>
          <w:szCs w:val="24"/>
        </w:rPr>
      </w:pPr>
      <w:r>
        <w:rPr>
          <w:rFonts w:hint="eastAsia"/>
          <w:sz w:val="24"/>
          <w:szCs w:val="24"/>
        </w:rPr>
        <w:t>外用制剂用铁盒及盖应符合通则</w:t>
      </w:r>
      <w:r>
        <w:rPr>
          <w:rFonts w:hint="eastAsia"/>
          <w:sz w:val="24"/>
          <w:szCs w:val="24"/>
        </w:rPr>
        <w:t>5400</w:t>
      </w:r>
      <w:r>
        <w:rPr>
          <w:rFonts w:hint="eastAsia"/>
          <w:sz w:val="24"/>
          <w:szCs w:val="24"/>
        </w:rPr>
        <w:t>药品包装用金属组件和容器通则要求。</w:t>
      </w:r>
    </w:p>
    <w:p w:rsidR="009665AC" w:rsidRDefault="00426863">
      <w:pPr>
        <w:spacing w:line="360" w:lineRule="auto"/>
        <w:rPr>
          <w:b/>
          <w:bCs/>
          <w:sz w:val="24"/>
          <w:szCs w:val="24"/>
        </w:rPr>
      </w:pPr>
      <w:r>
        <w:rPr>
          <w:b/>
          <w:bCs/>
          <w:sz w:val="24"/>
          <w:szCs w:val="24"/>
        </w:rPr>
        <w:t>3.2</w:t>
      </w:r>
      <w:r>
        <w:rPr>
          <w:rFonts w:hint="eastAsia"/>
          <w:b/>
          <w:bCs/>
          <w:sz w:val="24"/>
          <w:szCs w:val="24"/>
        </w:rPr>
        <w:t>质量控制</w:t>
      </w:r>
    </w:p>
    <w:p w:rsidR="009665AC" w:rsidRDefault="00426863">
      <w:pPr>
        <w:spacing w:line="360" w:lineRule="auto"/>
        <w:ind w:firstLine="420"/>
        <w:rPr>
          <w:bCs/>
          <w:sz w:val="24"/>
          <w:szCs w:val="24"/>
        </w:rPr>
      </w:pPr>
      <w:r>
        <w:rPr>
          <w:rFonts w:hAnsi="宋体" w:hint="eastAsia"/>
          <w:color w:val="000000"/>
          <w:sz w:val="24"/>
          <w:szCs w:val="24"/>
        </w:rPr>
        <w:t>外用</w:t>
      </w:r>
      <w:r>
        <w:rPr>
          <w:rFonts w:hAnsi="宋体"/>
          <w:color w:val="000000"/>
          <w:sz w:val="24"/>
          <w:szCs w:val="24"/>
        </w:rPr>
        <w:t>制剂用铁盒及盖</w:t>
      </w:r>
      <w:r>
        <w:rPr>
          <w:rFonts w:hint="eastAsia"/>
          <w:bCs/>
          <w:sz w:val="24"/>
          <w:szCs w:val="24"/>
        </w:rPr>
        <w:t>的质量应</w:t>
      </w:r>
      <w:r>
        <w:rPr>
          <w:rFonts w:hint="eastAsia"/>
          <w:sz w:val="24"/>
          <w:szCs w:val="24"/>
        </w:rPr>
        <w:t>进行以下相应检查。</w:t>
      </w:r>
    </w:p>
    <w:p w:rsidR="009665AC" w:rsidRDefault="00426863">
      <w:pPr>
        <w:spacing w:line="360" w:lineRule="auto"/>
        <w:rPr>
          <w:rFonts w:hAnsi="宋体"/>
          <w:sz w:val="24"/>
          <w:szCs w:val="24"/>
        </w:rPr>
      </w:pPr>
      <w:r>
        <w:rPr>
          <w:rFonts w:hAnsi="宋体" w:hint="eastAsia"/>
          <w:b/>
          <w:color w:val="000000"/>
          <w:sz w:val="24"/>
          <w:szCs w:val="24"/>
        </w:rPr>
        <w:t>3.2.1</w:t>
      </w:r>
      <w:r>
        <w:rPr>
          <w:rFonts w:hAnsi="宋体" w:hint="eastAsia"/>
          <w:b/>
          <w:color w:val="000000"/>
          <w:sz w:val="24"/>
          <w:szCs w:val="24"/>
        </w:rPr>
        <w:t>外观</w:t>
      </w:r>
      <w:r>
        <w:rPr>
          <w:rFonts w:hAnsi="宋体" w:hint="eastAsia"/>
          <w:sz w:val="24"/>
          <w:szCs w:val="24"/>
        </w:rPr>
        <w:t xml:space="preserve"> </w:t>
      </w:r>
      <w:r>
        <w:rPr>
          <w:rFonts w:hAnsi="宋体" w:hint="eastAsia"/>
          <w:b/>
          <w:bCs/>
          <w:sz w:val="24"/>
          <w:szCs w:val="24"/>
        </w:rPr>
        <w:t xml:space="preserve"> </w:t>
      </w:r>
      <w:r>
        <w:rPr>
          <w:rFonts w:hAnsi="宋体" w:hint="eastAsia"/>
          <w:sz w:val="24"/>
          <w:szCs w:val="24"/>
        </w:rPr>
        <w:t>用于控制外用制剂用铁盒及盖的外观质量。在自然光线明亮处，正视目测。外观质量应符合企业标准或质量协议的规定。</w:t>
      </w:r>
    </w:p>
    <w:p w:rsidR="009665AC" w:rsidRDefault="00426863">
      <w:pPr>
        <w:spacing w:line="360" w:lineRule="auto"/>
        <w:rPr>
          <w:bCs/>
          <w:sz w:val="24"/>
          <w:szCs w:val="24"/>
        </w:rPr>
      </w:pPr>
      <w:r>
        <w:rPr>
          <w:rFonts w:hAnsi="宋体" w:hint="eastAsia"/>
          <w:b/>
          <w:sz w:val="24"/>
          <w:szCs w:val="24"/>
        </w:rPr>
        <w:t>3.2.2</w:t>
      </w:r>
      <w:r>
        <w:rPr>
          <w:b/>
          <w:sz w:val="24"/>
          <w:szCs w:val="24"/>
        </w:rPr>
        <w:t>配合性（适用于含盖的铁盒）</w:t>
      </w:r>
      <w:r>
        <w:rPr>
          <w:sz w:val="24"/>
          <w:szCs w:val="24"/>
        </w:rPr>
        <w:t>用于控制铁盒及其配套用盖的适配性，保证正常使用。</w:t>
      </w:r>
      <w:r>
        <w:rPr>
          <w:bCs/>
          <w:sz w:val="24"/>
          <w:szCs w:val="24"/>
        </w:rPr>
        <w:t>取适量铁盒及其配套用盖，盖与底的配合应松紧适宜。松限：以手捏盒底，盖向下，轻击盖底，盖不下落。紧限：以不用手指甲</w:t>
      </w:r>
      <w:proofErr w:type="gramStart"/>
      <w:r>
        <w:rPr>
          <w:bCs/>
          <w:sz w:val="24"/>
          <w:szCs w:val="24"/>
        </w:rPr>
        <w:t>硬剥即可</w:t>
      </w:r>
      <w:proofErr w:type="gramEnd"/>
      <w:r>
        <w:rPr>
          <w:bCs/>
          <w:sz w:val="24"/>
          <w:szCs w:val="24"/>
        </w:rPr>
        <w:t>开启为准。</w:t>
      </w:r>
    </w:p>
    <w:p w:rsidR="009665AC" w:rsidRDefault="00426863">
      <w:pPr>
        <w:spacing w:line="360" w:lineRule="auto"/>
        <w:rPr>
          <w:bCs/>
          <w:sz w:val="24"/>
          <w:szCs w:val="24"/>
        </w:rPr>
      </w:pPr>
      <w:bookmarkStart w:id="2" w:name="OLE_LINK1"/>
      <w:r>
        <w:rPr>
          <w:b/>
          <w:sz w:val="24"/>
          <w:szCs w:val="24"/>
        </w:rPr>
        <w:t>3.2.3</w:t>
      </w:r>
      <w:r>
        <w:rPr>
          <w:b/>
          <w:sz w:val="24"/>
          <w:szCs w:val="24"/>
        </w:rPr>
        <w:t>尺寸及偏心距</w:t>
      </w:r>
      <w:r>
        <w:rPr>
          <w:sz w:val="24"/>
          <w:szCs w:val="24"/>
        </w:rPr>
        <w:t xml:space="preserve">  </w:t>
      </w:r>
      <w:r>
        <w:rPr>
          <w:bCs/>
          <w:sz w:val="24"/>
          <w:szCs w:val="24"/>
        </w:rPr>
        <w:t>用于控制外用制剂用铁盒及盖尺寸质量。取铁盒及盖适量。用精度不大于</w:t>
      </w:r>
      <w:r>
        <w:rPr>
          <w:bCs/>
          <w:sz w:val="24"/>
          <w:szCs w:val="24"/>
        </w:rPr>
        <w:t>0.02mm</w:t>
      </w:r>
      <w:r>
        <w:rPr>
          <w:bCs/>
          <w:sz w:val="24"/>
          <w:szCs w:val="24"/>
        </w:rPr>
        <w:t>的游标卡尺测量。测量尺寸包含：盖内径、盖外径、盖高度、盒口径外径、盒筋线外径、盒高度、成品铁盒凸面总高度及偏心距。各尺寸应符合企业标准或质量协议的规定。</w:t>
      </w:r>
    </w:p>
    <w:p w:rsidR="009665AC" w:rsidRDefault="00426863">
      <w:pPr>
        <w:spacing w:line="360" w:lineRule="auto"/>
        <w:rPr>
          <w:rFonts w:hAnsi="宋体"/>
          <w:b/>
          <w:sz w:val="24"/>
          <w:szCs w:val="24"/>
        </w:rPr>
      </w:pPr>
      <w:r>
        <w:rPr>
          <w:rFonts w:hAnsi="宋体" w:hint="eastAsia"/>
          <w:b/>
          <w:sz w:val="24"/>
          <w:szCs w:val="24"/>
        </w:rPr>
        <w:t xml:space="preserve">3.2.4 </w:t>
      </w:r>
      <w:r>
        <w:rPr>
          <w:rFonts w:hAnsi="宋体" w:hint="eastAsia"/>
          <w:b/>
          <w:sz w:val="24"/>
          <w:szCs w:val="24"/>
        </w:rPr>
        <w:t>化学性能</w:t>
      </w:r>
    </w:p>
    <w:p w:rsidR="009665AC" w:rsidRDefault="00426863">
      <w:pPr>
        <w:spacing w:line="360" w:lineRule="auto"/>
        <w:ind w:firstLineChars="200" w:firstLine="480"/>
        <w:rPr>
          <w:bCs/>
          <w:sz w:val="24"/>
          <w:szCs w:val="24"/>
        </w:rPr>
      </w:pPr>
      <w:r>
        <w:rPr>
          <w:bCs/>
          <w:sz w:val="24"/>
          <w:szCs w:val="24"/>
        </w:rPr>
        <w:t>取完整样品适量，照</w:t>
      </w:r>
      <w:r>
        <w:rPr>
          <w:bCs/>
          <w:sz w:val="24"/>
          <w:szCs w:val="24"/>
        </w:rPr>
        <w:t>4204</w:t>
      </w:r>
      <w:r>
        <w:rPr>
          <w:bCs/>
          <w:sz w:val="24"/>
          <w:szCs w:val="24"/>
        </w:rPr>
        <w:t>药包材溶出物测定法采用浸提介质</w:t>
      </w:r>
      <w:r>
        <w:rPr>
          <w:bCs/>
          <w:sz w:val="24"/>
          <w:szCs w:val="24"/>
        </w:rPr>
        <w:t>a</w:t>
      </w:r>
      <w:r>
        <w:rPr>
          <w:bCs/>
          <w:sz w:val="24"/>
          <w:szCs w:val="24"/>
        </w:rPr>
        <w:t>）、浸</w:t>
      </w:r>
      <w:proofErr w:type="gramStart"/>
      <w:r>
        <w:rPr>
          <w:bCs/>
          <w:sz w:val="24"/>
          <w:szCs w:val="24"/>
        </w:rPr>
        <w:t>提比例</w:t>
      </w:r>
      <w:proofErr w:type="gramEnd"/>
      <w:r>
        <w:rPr>
          <w:bCs/>
          <w:sz w:val="24"/>
          <w:szCs w:val="24"/>
        </w:rPr>
        <w:t>a</w:t>
      </w:r>
      <w:r>
        <w:rPr>
          <w:bCs/>
          <w:sz w:val="24"/>
          <w:szCs w:val="24"/>
        </w:rPr>
        <w:t>）、浸提温度和时间</w:t>
      </w:r>
      <w:r>
        <w:rPr>
          <w:bCs/>
          <w:sz w:val="24"/>
          <w:szCs w:val="24"/>
        </w:rPr>
        <w:t>c</w:t>
      </w:r>
      <w:r>
        <w:rPr>
          <w:bCs/>
          <w:sz w:val="24"/>
          <w:szCs w:val="24"/>
        </w:rPr>
        <w:t>）制备供试</w:t>
      </w:r>
      <w:r>
        <w:rPr>
          <w:bCs/>
          <w:sz w:val="24"/>
          <w:szCs w:val="24"/>
        </w:rPr>
        <w:t>液和空白液。</w:t>
      </w:r>
    </w:p>
    <w:p w:rsidR="009665AC" w:rsidRDefault="00426863">
      <w:pPr>
        <w:spacing w:line="360" w:lineRule="auto"/>
        <w:ind w:firstLineChars="200" w:firstLine="480"/>
        <w:rPr>
          <w:bCs/>
          <w:sz w:val="24"/>
          <w:szCs w:val="24"/>
        </w:rPr>
      </w:pPr>
      <w:r>
        <w:rPr>
          <w:bCs/>
          <w:sz w:val="24"/>
          <w:szCs w:val="24"/>
        </w:rPr>
        <w:t>照</w:t>
      </w:r>
      <w:r>
        <w:rPr>
          <w:bCs/>
          <w:sz w:val="24"/>
          <w:szCs w:val="24"/>
        </w:rPr>
        <w:t>4204</w:t>
      </w:r>
      <w:r>
        <w:rPr>
          <w:bCs/>
          <w:sz w:val="24"/>
          <w:szCs w:val="24"/>
        </w:rPr>
        <w:t>药包材溶出物测定法测定以下项目。</w:t>
      </w:r>
    </w:p>
    <w:p w:rsidR="009665AC" w:rsidRDefault="00426863">
      <w:pPr>
        <w:spacing w:line="360" w:lineRule="auto"/>
        <w:rPr>
          <w:rFonts w:hAnsi="宋体"/>
          <w:sz w:val="24"/>
          <w:szCs w:val="24"/>
        </w:rPr>
      </w:pPr>
      <w:r>
        <w:rPr>
          <w:b/>
          <w:bCs/>
          <w:sz w:val="24"/>
          <w:szCs w:val="24"/>
        </w:rPr>
        <w:t xml:space="preserve">3.2.5.1 </w:t>
      </w:r>
      <w:r>
        <w:rPr>
          <w:b/>
          <w:bCs/>
          <w:sz w:val="24"/>
          <w:szCs w:val="24"/>
        </w:rPr>
        <w:t>易氧化物</w:t>
      </w:r>
      <w:r>
        <w:rPr>
          <w:sz w:val="24"/>
          <w:szCs w:val="24"/>
        </w:rPr>
        <w:t xml:space="preserve"> </w:t>
      </w:r>
      <w:r>
        <w:rPr>
          <w:sz w:val="24"/>
          <w:szCs w:val="24"/>
        </w:rPr>
        <w:t>与空白液消耗硫代硫酸钠滴定液（</w:t>
      </w:r>
      <w:r>
        <w:rPr>
          <w:sz w:val="24"/>
          <w:szCs w:val="24"/>
        </w:rPr>
        <w:t>0.01mol/L</w:t>
      </w:r>
      <w:r>
        <w:rPr>
          <w:sz w:val="24"/>
          <w:szCs w:val="24"/>
        </w:rPr>
        <w:t>）的体积之差不</w:t>
      </w:r>
      <w:r>
        <w:rPr>
          <w:rFonts w:hAnsi="宋体" w:hint="eastAsia"/>
          <w:sz w:val="24"/>
          <w:szCs w:val="24"/>
        </w:rPr>
        <w:t>得过</w:t>
      </w:r>
      <w:r>
        <w:rPr>
          <w:rFonts w:hAnsi="宋体" w:hint="eastAsia"/>
          <w:sz w:val="24"/>
          <w:szCs w:val="24"/>
        </w:rPr>
        <w:t>1.5ml</w:t>
      </w:r>
      <w:r>
        <w:rPr>
          <w:rFonts w:hAnsi="宋体" w:hint="eastAsia"/>
          <w:sz w:val="24"/>
          <w:szCs w:val="24"/>
        </w:rPr>
        <w:t>。</w:t>
      </w:r>
    </w:p>
    <w:p w:rsidR="009665AC" w:rsidRDefault="00426863">
      <w:pPr>
        <w:spacing w:line="360" w:lineRule="auto"/>
        <w:rPr>
          <w:rFonts w:hAnsi="宋体"/>
          <w:sz w:val="24"/>
          <w:szCs w:val="24"/>
        </w:rPr>
      </w:pPr>
      <w:r>
        <w:rPr>
          <w:rFonts w:hAnsi="宋体" w:hint="eastAsia"/>
          <w:b/>
          <w:bCs/>
          <w:sz w:val="24"/>
          <w:szCs w:val="24"/>
        </w:rPr>
        <w:lastRenderedPageBreak/>
        <w:t xml:space="preserve">3.2.5.2 </w:t>
      </w:r>
      <w:r>
        <w:rPr>
          <w:rFonts w:hAnsi="宋体" w:hint="eastAsia"/>
          <w:b/>
          <w:bCs/>
          <w:sz w:val="24"/>
          <w:szCs w:val="24"/>
        </w:rPr>
        <w:t>不挥发物</w:t>
      </w:r>
      <w:r>
        <w:rPr>
          <w:rFonts w:hAnsi="宋体" w:hint="eastAsia"/>
          <w:sz w:val="24"/>
          <w:szCs w:val="24"/>
        </w:rPr>
        <w:t xml:space="preserve"> </w:t>
      </w:r>
      <w:r>
        <w:rPr>
          <w:rFonts w:hAnsi="宋体" w:hint="eastAsia"/>
          <w:sz w:val="24"/>
          <w:szCs w:val="24"/>
        </w:rPr>
        <w:t>与空白液之差不得过</w:t>
      </w:r>
      <w:r>
        <w:rPr>
          <w:rFonts w:hAnsi="宋体" w:hint="eastAsia"/>
          <w:sz w:val="24"/>
          <w:szCs w:val="24"/>
        </w:rPr>
        <w:t>15mg</w:t>
      </w:r>
      <w:r>
        <w:rPr>
          <w:rFonts w:hAnsi="宋体" w:hint="eastAsia"/>
          <w:sz w:val="24"/>
          <w:szCs w:val="24"/>
        </w:rPr>
        <w:t>。</w:t>
      </w:r>
      <w:bookmarkEnd w:id="2"/>
    </w:p>
    <w:p w:rsidR="009665AC" w:rsidRDefault="00426863">
      <w:pPr>
        <w:suppressLineNumbers/>
        <w:spacing w:line="360" w:lineRule="auto"/>
        <w:ind w:firstLineChars="200" w:firstLine="480"/>
        <w:rPr>
          <w:rFonts w:cs="宋体"/>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137795</wp:posOffset>
                </wp:positionV>
                <wp:extent cx="5234940" cy="15240"/>
                <wp:effectExtent l="0" t="4445" r="3810" b="88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a:effectLst/>
                      </wps:spPr>
                      <wps:bodyPr/>
                    </wps:wsp>
                  </a:graphicData>
                </a:graphic>
              </wp:anchor>
            </w:drawing>
          </mc:Choice>
          <mc:Fallback>
            <w:pict>
              <v:shapetype w14:anchorId="0CA069B5" id="_x0000_t32" coordsize="21600,21600" o:spt="32" o:oned="t" path="m,l21600,21600e" filled="f">
                <v:path arrowok="t" fillok="f" o:connecttype="none"/>
                <o:lock v:ext="edit" shapetype="t"/>
              </v:shapetype>
              <v:shape id="直接箭头连接符 1" o:spid="_x0000_s1026" type="#_x0000_t32" style="position:absolute;left:0;text-align:left;margin-left:.3pt;margin-top:10.85pt;width:41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XQ6AEAAIIDAAAOAAAAZHJzL2Uyb0RvYy54bWysU82O0zAQviPxDpbvNE3ZIjZquoeulssC&#10;lXZ5ANdxEgvHY43dJn0JXgCJE3ACTnvnaWD3MXbs/sDCDZGD5fHM983MN5PZ2dAZtlHoNdiS56Mx&#10;Z8pKqLRtSv7m+uLJc858ELYSBqwq+VZ5fjZ//GjWu0JNoAVTKWREYn3Ru5K3Ibgiy7xsVSf8CJyy&#10;5KwBOxHIxCarUPTE3plsMh4/y3rAyiFI5T29nu+cfJ7461rJ8LquvQrMlJxqC+nEdK7imc1nomhQ&#10;uFbLfRniH6rohLaU9Eh1LoJga9R/UXVaIniow0hCl0Fda6lSD9RNPv6jm6tWOJV6IXG8O8rk/x+t&#10;fLVZItMVzY4zKzoa0e37m5/vPt1++/rj483d9w/x/uUzy6NUvfMFIRZ2ibFZOdgrdwnyrWcWFq2w&#10;jUolX28d8SRE9gASDe8o4ap/CRXFiHWApNtQYxcpSRE2pPFsj+NRQ2CSHqeTpyenJzRFSb58OqEr&#10;1ZSJ4gB26MMLBR2Ll5L7gEI3bViAtbQIgHlKJTaXPuyAB0DMbOFCG5P2wVjWl/x0OpkmgAejq+iM&#10;YR6b1cIg24i4UenbV/EgDGFtq10SYyNOpWXcZz7osFN0BdV2iTE4vtOgU1P7pYyb9Ludon79OvN7&#10;AAAA//8DAFBLAwQUAAYACAAAACEAqMd2sdwAAAAGAQAADwAAAGRycy9kb3ducmV2LnhtbEyPwU7D&#10;MBBE70j8g7VIXBB1EtFSQjZVhcSBI20lrm68JIF4HcVOE/r1LCd6nJ3RzNtiM7tOnWgIrWeEdJGA&#10;Iq68bblGOOxf79egQjRsTeeZEH4owKa8vipMbv3E73TaxVpJCYfcIDQx9rnWoWrImbDwPbF4n35w&#10;Joocam0HM0m563SWJCvtTMuy0JieXhqqvnejQ6AwLtNk++Tqw9t5uvvIzl9Tv0e8vZm3z6AizfE/&#10;DH/4gg6lMB39yDaoDmElOYQsfQQl7jpbymdHOTykoMtCX+KXvwAAAP//AwBQSwECLQAUAAYACAAA&#10;ACEAtoM4kv4AAADhAQAAEwAAAAAAAAAAAAAAAAAAAAAAW0NvbnRlbnRfVHlwZXNdLnhtbFBLAQIt&#10;ABQABgAIAAAAIQA4/SH/1gAAAJQBAAALAAAAAAAAAAAAAAAAAC8BAABfcmVscy8ucmVsc1BLAQIt&#10;ABQABgAIAAAAIQCHlMXQ6AEAAIIDAAAOAAAAAAAAAAAAAAAAAC4CAABkcnMvZTJvRG9jLnhtbFBL&#10;AQItABQABgAIAAAAIQCox3ax3AAAAAYBAAAPAAAAAAAAAAAAAAAAAEIEAABkcnMvZG93bnJldi54&#10;bWxQSwUGAAAAAAQABADzAAAASwUAAAAA&#10;"/>
            </w:pict>
          </mc:Fallback>
        </mc:AlternateContent>
      </w:r>
    </w:p>
    <w:p w:rsidR="009665AC" w:rsidRDefault="00426863">
      <w:pPr>
        <w:pStyle w:val="a7"/>
        <w:suppressLineNumbers/>
        <w:spacing w:line="360" w:lineRule="auto"/>
        <w:rPr>
          <w:rFonts w:ascii="Times New Roman" w:hAnsi="Times New Roman" w:cs="Times New Roman"/>
          <w:sz w:val="24"/>
          <w:szCs w:val="24"/>
        </w:rPr>
      </w:pPr>
      <w:r>
        <w:rPr>
          <w:rFonts w:hAnsi="宋体" w:hint="eastAsia"/>
          <w:sz w:val="24"/>
          <w:szCs w:val="24"/>
        </w:rPr>
        <w:t>起草单位</w:t>
      </w:r>
      <w:r>
        <w:rPr>
          <w:rFonts w:hAnsi="宋体"/>
          <w:sz w:val="24"/>
          <w:szCs w:val="24"/>
        </w:rPr>
        <w:t>：</w:t>
      </w:r>
      <w:r>
        <w:rPr>
          <w:rFonts w:hAnsi="宋体" w:hint="eastAsia"/>
          <w:sz w:val="24"/>
          <w:szCs w:val="24"/>
        </w:rPr>
        <w:t>上海市食品药品包装材料测试所</w:t>
      </w:r>
      <w:r>
        <w:rPr>
          <w:rFonts w:hAnsi="宋体"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联系电话：</w:t>
      </w:r>
      <w:r>
        <w:rPr>
          <w:rFonts w:ascii="Times New Roman" w:hAnsi="Times New Roman" w:cs="Times New Roman"/>
          <w:sz w:val="24"/>
          <w:szCs w:val="24"/>
        </w:rPr>
        <w:t>021-50798235</w:t>
      </w:r>
    </w:p>
    <w:p w:rsidR="009665AC" w:rsidRDefault="00426863">
      <w:pPr>
        <w:pStyle w:val="a7"/>
        <w:suppressLineNumbers/>
        <w:spacing w:line="360" w:lineRule="auto"/>
        <w:rPr>
          <w:b/>
          <w:sz w:val="24"/>
          <w:szCs w:val="24"/>
        </w:rPr>
      </w:pPr>
      <w:r>
        <w:rPr>
          <w:rFonts w:ascii="Times New Roman" w:hAnsi="Times New Roman" w:cs="Times New Roman" w:hint="eastAsia"/>
          <w:sz w:val="24"/>
          <w:szCs w:val="24"/>
        </w:rPr>
        <w:t>参与单位：上海亚太医药包装材料有限公司</w:t>
      </w:r>
    </w:p>
    <w:p w:rsidR="009665AC" w:rsidRDefault="009665AC">
      <w:pPr>
        <w:pStyle w:val="a7"/>
        <w:suppressLineNumbers/>
        <w:spacing w:line="360" w:lineRule="auto"/>
        <w:rPr>
          <w:rFonts w:hAnsi="宋体"/>
          <w:b/>
          <w:bCs/>
          <w:sz w:val="28"/>
          <w:szCs w:val="28"/>
        </w:rPr>
      </w:pPr>
    </w:p>
    <w:p w:rsidR="009665AC" w:rsidRDefault="00426863">
      <w:pPr>
        <w:pStyle w:val="a7"/>
        <w:suppressLineNumbers/>
        <w:spacing w:line="360" w:lineRule="auto"/>
        <w:jc w:val="center"/>
        <w:rPr>
          <w:rFonts w:hAnsi="宋体"/>
          <w:b/>
          <w:sz w:val="28"/>
          <w:szCs w:val="28"/>
        </w:rPr>
      </w:pPr>
      <w:bookmarkStart w:id="3" w:name="_GoBack"/>
      <w:bookmarkEnd w:id="3"/>
      <w:r>
        <w:rPr>
          <w:rFonts w:hAnsi="宋体" w:hint="eastAsia"/>
          <w:b/>
          <w:sz w:val="28"/>
          <w:szCs w:val="28"/>
        </w:rPr>
        <w:t>外</w:t>
      </w:r>
      <w:r>
        <w:rPr>
          <w:rFonts w:hAnsi="宋体" w:cs="Times New Roman" w:hint="eastAsia"/>
          <w:b/>
          <w:sz w:val="28"/>
          <w:szCs w:val="28"/>
        </w:rPr>
        <w:t>用</w:t>
      </w:r>
      <w:r>
        <w:rPr>
          <w:rFonts w:hAnsi="宋体" w:hint="eastAsia"/>
          <w:b/>
          <w:sz w:val="28"/>
          <w:szCs w:val="28"/>
        </w:rPr>
        <w:t>制剂</w:t>
      </w:r>
      <w:r>
        <w:rPr>
          <w:rFonts w:hAnsi="宋体" w:cs="___WRD_EMBED_SUB_41" w:hint="eastAsia"/>
          <w:b/>
          <w:sz w:val="28"/>
          <w:szCs w:val="28"/>
        </w:rPr>
        <w:t>用</w:t>
      </w:r>
      <w:r>
        <w:rPr>
          <w:rFonts w:hAnsi="宋体" w:hint="eastAsia"/>
          <w:b/>
          <w:sz w:val="28"/>
          <w:szCs w:val="28"/>
        </w:rPr>
        <w:t>铁盒及盖</w:t>
      </w:r>
      <w:r>
        <w:rPr>
          <w:rFonts w:hAnsi="宋体" w:cs="___WRD_EMBED_SUB_41" w:hint="eastAsia"/>
          <w:b/>
          <w:sz w:val="28"/>
          <w:szCs w:val="28"/>
        </w:rPr>
        <w:t>通则</w:t>
      </w:r>
      <w:r>
        <w:rPr>
          <w:rFonts w:hAnsi="宋体" w:hint="eastAsia"/>
          <w:b/>
          <w:sz w:val="28"/>
          <w:szCs w:val="28"/>
        </w:rPr>
        <w:t>起草说明</w:t>
      </w:r>
    </w:p>
    <w:p w:rsidR="009665AC" w:rsidRDefault="00426863">
      <w:pPr>
        <w:spacing w:line="360" w:lineRule="auto"/>
        <w:ind w:firstLineChars="200" w:firstLine="480"/>
        <w:jc w:val="left"/>
        <w:rPr>
          <w:rFonts w:hAnsi="宋体"/>
          <w:sz w:val="24"/>
          <w:szCs w:val="24"/>
        </w:rPr>
      </w:pPr>
      <w:r>
        <w:rPr>
          <w:rFonts w:hAnsi="宋体" w:hint="eastAsia"/>
          <w:sz w:val="24"/>
          <w:szCs w:val="24"/>
        </w:rPr>
        <w:t>基于铁盒及</w:t>
      </w:r>
      <w:proofErr w:type="gramStart"/>
      <w:r>
        <w:rPr>
          <w:rFonts w:hAnsi="宋体" w:hint="eastAsia"/>
          <w:sz w:val="24"/>
          <w:szCs w:val="24"/>
        </w:rPr>
        <w:t>盖本身</w:t>
      </w:r>
      <w:proofErr w:type="gramEnd"/>
      <w:r>
        <w:rPr>
          <w:rFonts w:hAnsi="宋体" w:hint="eastAsia"/>
          <w:sz w:val="24"/>
          <w:szCs w:val="24"/>
        </w:rPr>
        <w:t>材料性质的</w:t>
      </w:r>
      <w:proofErr w:type="gramStart"/>
      <w:r>
        <w:rPr>
          <w:rFonts w:hAnsi="宋体" w:hint="eastAsia"/>
          <w:sz w:val="24"/>
          <w:szCs w:val="24"/>
        </w:rPr>
        <w:t>考量</w:t>
      </w:r>
      <w:proofErr w:type="gramEnd"/>
      <w:r>
        <w:rPr>
          <w:rFonts w:hAnsi="宋体" w:hint="eastAsia"/>
          <w:sz w:val="24"/>
          <w:szCs w:val="24"/>
        </w:rPr>
        <w:t>，并结合其实际在产品应用的</w:t>
      </w:r>
      <w:proofErr w:type="gramStart"/>
      <w:r>
        <w:rPr>
          <w:rFonts w:hAnsi="宋体" w:hint="eastAsia"/>
          <w:sz w:val="24"/>
          <w:szCs w:val="24"/>
        </w:rPr>
        <w:t>的</w:t>
      </w:r>
      <w:proofErr w:type="gramEnd"/>
      <w:r>
        <w:rPr>
          <w:rFonts w:hAnsi="宋体" w:hint="eastAsia"/>
          <w:sz w:val="24"/>
          <w:szCs w:val="24"/>
        </w:rPr>
        <w:t>剂型及其与药品接触的风险程度，本次标准制定中新增化学性能相关检查项，以确保产品的安全性和有效性。</w:t>
      </w:r>
    </w:p>
    <w:sectPr w:rsidR="009665AC">
      <w:headerReference w:type="even" r:id="rId7"/>
      <w:headerReference w:type="default" r:id="rId8"/>
      <w:headerReference w:type="first" r:id="rId9"/>
      <w:type w:val="continuous"/>
      <w:pgSz w:w="11907" w:h="16840"/>
      <w:pgMar w:top="1440" w:right="1440" w:bottom="1440" w:left="1797" w:header="1134" w:footer="567"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863" w:rsidRDefault="00426863">
      <w:r>
        <w:separator/>
      </w:r>
    </w:p>
  </w:endnote>
  <w:endnote w:type="continuationSeparator" w:id="0">
    <w:p w:rsidR="00426863" w:rsidRDefault="0042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等线">
    <w:altName w:val="DengXian"/>
    <w:panose1 w:val="02010600030101010101"/>
    <w:charset w:val="86"/>
    <w:family w:val="auto"/>
    <w:pitch w:val="variable"/>
    <w:sig w:usb0="A00002BF" w:usb1="38CF7CFA" w:usb2="00000016" w:usb3="00000000" w:csb0="0004000F" w:csb1="00000000"/>
    <w:embedRegular r:id="rId1" w:subsetted="1" w:fontKey="{159AF3F3-8ABF-4BB8-977B-7DF4D05CAADB}"/>
  </w:font>
  <w:font w:name="黑体">
    <w:altName w:val="SimHei"/>
    <w:panose1 w:val="02010609060101010101"/>
    <w:charset w:val="86"/>
    <w:family w:val="modern"/>
    <w:pitch w:val="fixed"/>
    <w:sig w:usb0="800002BF" w:usb1="38CF7CFA" w:usb2="00000016" w:usb3="00000000" w:csb0="00040001" w:csb1="00000000"/>
    <w:embedBold r:id="rId2" w:subsetted="1" w:fontKey="{19EC8E46-C550-48EB-A256-7F35829B06E3}"/>
  </w:font>
  <w:font w:name="___WRD_EMBED_SUB_41">
    <w:altName w:val="Arial Unicode MS"/>
    <w:charset w:val="86"/>
    <w:family w:val="auto"/>
    <w:pitch w:val="default"/>
    <w:sig w:usb0="00000000" w:usb1="0000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863" w:rsidRDefault="00426863">
      <w:r>
        <w:separator/>
      </w:r>
    </w:p>
  </w:footnote>
  <w:footnote w:type="continuationSeparator" w:id="0">
    <w:p w:rsidR="00426863" w:rsidRDefault="00426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5AC" w:rsidRDefault="00426863">
    <w:pPr>
      <w:pStyle w:val="ac"/>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10552" o:spid="_x0000_s2051" type="#_x0000_t136" style="position:absolute;left:0;text-align:left;margin-left:0;margin-top:0;width:509.3pt;height:101.85pt;rotation:315;z-index:-251655168;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5AC" w:rsidRDefault="00426863">
    <w:pPr>
      <w:pStyle w:val="ac"/>
      <w:rPr>
        <w:rFonts w:ascii="Times New Roman" w:hAnsi="Times New Roman" w:cs="Times New Roman"/>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40" o:spid="_x0000_s2053" type="#_x0000_t136" style="position:absolute;left:0;text-align:left;margin-left:0;margin-top:0;width:465.65pt;height:121.6pt;rotation:-45;z-index:-251654144;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ascii="Times New Roman" w:hAnsi="Times New Roman" w:cs="Times New Roman"/>
      </w:rPr>
      <w:t>2023</w:t>
    </w:r>
    <w:r>
      <w:rPr>
        <w:rFonts w:ascii="Times New Roman" w:hAnsi="Times New Roman" w:cs="Times New Roman"/>
      </w:rPr>
      <w:t>年</w:t>
    </w:r>
    <w:r>
      <w:rPr>
        <w:rFonts w:ascii="Times New Roman" w:hAnsi="Times New Roman" w:cs="Times New Roman"/>
      </w:rPr>
      <w:t>8</w:t>
    </w:r>
    <w:r>
      <w:rPr>
        <w:rFonts w:ascii="Times New Roman" w:hAnsi="Times New Roman" w:cs="Times New Roman"/>
      </w:rPr>
      <w:t>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5AC" w:rsidRDefault="00426863">
    <w:pPr>
      <w:pStyle w:val="ac"/>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10551" o:spid="_x0000_s2049" type="#_x0000_t136" style="position:absolute;left:0;text-align:left;margin-left:0;margin-top:0;width:509.3pt;height:101.85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mUxOWJkM2Q4YmQ4NjMyMTYzNDQwNzVhYWM0MGEifQ=="/>
  </w:docVars>
  <w:rsids>
    <w:rsidRoot w:val="00537011"/>
    <w:rsid w:val="00002313"/>
    <w:rsid w:val="00014AED"/>
    <w:rsid w:val="000422F7"/>
    <w:rsid w:val="00065ABB"/>
    <w:rsid w:val="000818AE"/>
    <w:rsid w:val="000B1BA8"/>
    <w:rsid w:val="000D3049"/>
    <w:rsid w:val="000E4D4A"/>
    <w:rsid w:val="001255E2"/>
    <w:rsid w:val="001E1C28"/>
    <w:rsid w:val="001F13CC"/>
    <w:rsid w:val="00200C66"/>
    <w:rsid w:val="002064A0"/>
    <w:rsid w:val="00206AE0"/>
    <w:rsid w:val="00222449"/>
    <w:rsid w:val="002655FE"/>
    <w:rsid w:val="002733BA"/>
    <w:rsid w:val="002C70EA"/>
    <w:rsid w:val="002D4919"/>
    <w:rsid w:val="002E5B1E"/>
    <w:rsid w:val="002F60AB"/>
    <w:rsid w:val="0032424E"/>
    <w:rsid w:val="003C4B8F"/>
    <w:rsid w:val="003D7B25"/>
    <w:rsid w:val="00426863"/>
    <w:rsid w:val="00432E1D"/>
    <w:rsid w:val="004349B6"/>
    <w:rsid w:val="004458A3"/>
    <w:rsid w:val="004866F9"/>
    <w:rsid w:val="00495862"/>
    <w:rsid w:val="00502937"/>
    <w:rsid w:val="00507CB1"/>
    <w:rsid w:val="0051408B"/>
    <w:rsid w:val="00534160"/>
    <w:rsid w:val="00537011"/>
    <w:rsid w:val="00550C39"/>
    <w:rsid w:val="00566C25"/>
    <w:rsid w:val="005C51C1"/>
    <w:rsid w:val="005E563D"/>
    <w:rsid w:val="005F09B5"/>
    <w:rsid w:val="00616543"/>
    <w:rsid w:val="00665061"/>
    <w:rsid w:val="0069347C"/>
    <w:rsid w:val="006F4794"/>
    <w:rsid w:val="0071517E"/>
    <w:rsid w:val="008439FE"/>
    <w:rsid w:val="00844EEF"/>
    <w:rsid w:val="00854E84"/>
    <w:rsid w:val="008652B5"/>
    <w:rsid w:val="008967F5"/>
    <w:rsid w:val="008A1145"/>
    <w:rsid w:val="008C754F"/>
    <w:rsid w:val="008E427D"/>
    <w:rsid w:val="009115C8"/>
    <w:rsid w:val="00916D7C"/>
    <w:rsid w:val="00961C15"/>
    <w:rsid w:val="009665AC"/>
    <w:rsid w:val="009C37C5"/>
    <w:rsid w:val="009F0659"/>
    <w:rsid w:val="00A00BFD"/>
    <w:rsid w:val="00A067F9"/>
    <w:rsid w:val="00A529A0"/>
    <w:rsid w:val="00A943E5"/>
    <w:rsid w:val="00AC50A7"/>
    <w:rsid w:val="00AE2AD3"/>
    <w:rsid w:val="00AF2CB7"/>
    <w:rsid w:val="00B30482"/>
    <w:rsid w:val="00BB6CEA"/>
    <w:rsid w:val="00BD1813"/>
    <w:rsid w:val="00BE785F"/>
    <w:rsid w:val="00BF2BBD"/>
    <w:rsid w:val="00C07532"/>
    <w:rsid w:val="00C54751"/>
    <w:rsid w:val="00C66FB2"/>
    <w:rsid w:val="00C871B7"/>
    <w:rsid w:val="00CB21CB"/>
    <w:rsid w:val="00CF0B39"/>
    <w:rsid w:val="00D02A6B"/>
    <w:rsid w:val="00D314D1"/>
    <w:rsid w:val="00D57A71"/>
    <w:rsid w:val="00D74D9D"/>
    <w:rsid w:val="00D9088B"/>
    <w:rsid w:val="00D977B8"/>
    <w:rsid w:val="00DB30F8"/>
    <w:rsid w:val="00DB56A6"/>
    <w:rsid w:val="00DD4AF0"/>
    <w:rsid w:val="00E02F38"/>
    <w:rsid w:val="00E25BCF"/>
    <w:rsid w:val="00E32976"/>
    <w:rsid w:val="00E90A1B"/>
    <w:rsid w:val="00EB54C8"/>
    <w:rsid w:val="00F02D0B"/>
    <w:rsid w:val="00F74EAA"/>
    <w:rsid w:val="00F82BA2"/>
    <w:rsid w:val="00FC2BAA"/>
    <w:rsid w:val="00FE21BD"/>
    <w:rsid w:val="010D0042"/>
    <w:rsid w:val="03A7507A"/>
    <w:rsid w:val="061C0CAE"/>
    <w:rsid w:val="062365A3"/>
    <w:rsid w:val="08406CE4"/>
    <w:rsid w:val="084F6F27"/>
    <w:rsid w:val="08D67287"/>
    <w:rsid w:val="0B696551"/>
    <w:rsid w:val="0D6671EC"/>
    <w:rsid w:val="0D82015C"/>
    <w:rsid w:val="12C549B5"/>
    <w:rsid w:val="12D335F1"/>
    <w:rsid w:val="13833F28"/>
    <w:rsid w:val="1454426D"/>
    <w:rsid w:val="151C4634"/>
    <w:rsid w:val="1D5C5F16"/>
    <w:rsid w:val="1D6372A4"/>
    <w:rsid w:val="1E594203"/>
    <w:rsid w:val="23DF0D57"/>
    <w:rsid w:val="26620FE5"/>
    <w:rsid w:val="266D2F42"/>
    <w:rsid w:val="268F2EB8"/>
    <w:rsid w:val="276C3046"/>
    <w:rsid w:val="2D591A29"/>
    <w:rsid w:val="2DEC0BF0"/>
    <w:rsid w:val="2E6609A2"/>
    <w:rsid w:val="2F350375"/>
    <w:rsid w:val="2FD951A4"/>
    <w:rsid w:val="2FF748DB"/>
    <w:rsid w:val="31FC546F"/>
    <w:rsid w:val="33631954"/>
    <w:rsid w:val="37E56DDC"/>
    <w:rsid w:val="384F06F9"/>
    <w:rsid w:val="398C3287"/>
    <w:rsid w:val="3F93711E"/>
    <w:rsid w:val="40D05FDE"/>
    <w:rsid w:val="41354204"/>
    <w:rsid w:val="43E53CFF"/>
    <w:rsid w:val="44A4496D"/>
    <w:rsid w:val="46B67B95"/>
    <w:rsid w:val="47A67C0A"/>
    <w:rsid w:val="485633DE"/>
    <w:rsid w:val="48D80297"/>
    <w:rsid w:val="495F3195"/>
    <w:rsid w:val="4B645F1D"/>
    <w:rsid w:val="4BB26B7D"/>
    <w:rsid w:val="4CCC3C6F"/>
    <w:rsid w:val="4E760336"/>
    <w:rsid w:val="4F22401A"/>
    <w:rsid w:val="4FFD2240"/>
    <w:rsid w:val="50212524"/>
    <w:rsid w:val="56510FD6"/>
    <w:rsid w:val="568630E0"/>
    <w:rsid w:val="58BC54DF"/>
    <w:rsid w:val="5BD273E2"/>
    <w:rsid w:val="5C675762"/>
    <w:rsid w:val="5F4D50E3"/>
    <w:rsid w:val="6183303E"/>
    <w:rsid w:val="62015D11"/>
    <w:rsid w:val="66C35C8B"/>
    <w:rsid w:val="67E265E5"/>
    <w:rsid w:val="6C7D5453"/>
    <w:rsid w:val="6D7629B9"/>
    <w:rsid w:val="70115CB9"/>
    <w:rsid w:val="71C1726B"/>
    <w:rsid w:val="72C07522"/>
    <w:rsid w:val="74116287"/>
    <w:rsid w:val="74EB4D2A"/>
    <w:rsid w:val="75D06E53"/>
    <w:rsid w:val="77955421"/>
    <w:rsid w:val="78B2790D"/>
    <w:rsid w:val="79091484"/>
    <w:rsid w:val="7BCC11EB"/>
    <w:rsid w:val="7BFF3A46"/>
    <w:rsid w:val="7C45009D"/>
    <w:rsid w:val="7C5F4388"/>
    <w:rsid w:val="7F0F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fillcolor="white">
      <v:fill color="white"/>
    </o:shapedefaults>
    <o:shapelayout v:ext="edit">
      <o:idmap v:ext="edit" data="1"/>
    </o:shapelayout>
  </w:shapeDefaults>
  <w:decimalSymbol w:val="."/>
  <w:listSeparator w:val=","/>
  <w14:docId w14:val="4EB00A3F"/>
  <w15:docId w15:val="{258B571C-40D4-4B01-BCC3-4B5C981B2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99"/>
    <w:qFormat/>
    <w:pPr>
      <w:spacing w:line="380" w:lineRule="exact"/>
    </w:pPr>
    <w:rPr>
      <w:spacing w:val="-8"/>
      <w:kern w:val="0"/>
      <w:sz w:val="18"/>
      <w:szCs w:val="24"/>
    </w:rPr>
  </w:style>
  <w:style w:type="paragraph" w:styleId="a7">
    <w:name w:val="Plain Text"/>
    <w:basedOn w:val="a"/>
    <w:uiPriority w:val="99"/>
    <w:qFormat/>
    <w:rPr>
      <w:rFonts w:ascii="宋体" w:hAnsi="Courier New" w:cs="宋体"/>
      <w:kern w:val="0"/>
      <w:sz w:val="20"/>
    </w:rPr>
  </w:style>
  <w:style w:type="paragraph" w:styleId="a8">
    <w:name w:val="Balloon Text"/>
    <w:basedOn w:val="a"/>
    <w:link w:val="a9"/>
    <w:uiPriority w:val="99"/>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e">
    <w:name w:val="Table Grid"/>
    <w:basedOn w:val="a1"/>
    <w:uiPriority w:val="39"/>
    <w:unhideWhenUsed/>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line number"/>
    <w:basedOn w:val="a0"/>
    <w:uiPriority w:val="99"/>
    <w:semiHidden/>
    <w:unhideWhenUsed/>
    <w:qFormat/>
  </w:style>
  <w:style w:type="character" w:styleId="af0">
    <w:name w:val="annotation reference"/>
    <w:basedOn w:val="a0"/>
    <w:uiPriority w:val="99"/>
    <w:unhideWhenUsed/>
    <w:qFormat/>
    <w:rPr>
      <w:sz w:val="21"/>
      <w:szCs w:val="21"/>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a9">
    <w:name w:val="批注框文本 字符"/>
    <w:basedOn w:val="a0"/>
    <w:link w:val="a8"/>
    <w:uiPriority w:val="99"/>
    <w:semiHidden/>
    <w:qFormat/>
    <w:rPr>
      <w:rFonts w:ascii="Times New Roman" w:eastAsia="宋体" w:hAnsi="Times New Roman" w:cs="Times New Roman"/>
      <w:sz w:val="18"/>
      <w:szCs w:val="18"/>
    </w:rPr>
  </w:style>
  <w:style w:type="paragraph" w:customStyle="1" w:styleId="3">
    <w:name w:val="样式3"/>
    <w:basedOn w:val="a"/>
    <w:link w:val="3Char"/>
    <w:uiPriority w:val="99"/>
    <w:qFormat/>
    <w:pPr>
      <w:widowControl/>
      <w:spacing w:line="288" w:lineRule="auto"/>
      <w:jc w:val="center"/>
    </w:pPr>
    <w:rPr>
      <w:kern w:val="0"/>
      <w:position w:val="4"/>
      <w:sz w:val="20"/>
      <w:szCs w:val="21"/>
    </w:rPr>
  </w:style>
  <w:style w:type="paragraph" w:customStyle="1" w:styleId="11">
    <w:name w:val="正文文本缩进11"/>
    <w:basedOn w:val="a"/>
    <w:qFormat/>
    <w:pPr>
      <w:widowControl/>
      <w:spacing w:line="360" w:lineRule="auto"/>
      <w:ind w:firstLineChars="200" w:firstLine="435"/>
    </w:pPr>
    <w:rPr>
      <w:kern w:val="0"/>
      <w:sz w:val="24"/>
      <w:szCs w:val="24"/>
    </w:rPr>
  </w:style>
  <w:style w:type="character" w:customStyle="1" w:styleId="3Char">
    <w:name w:val="样式3 Char"/>
    <w:link w:val="3"/>
    <w:uiPriority w:val="99"/>
    <w:qFormat/>
    <w:locked/>
    <w:rPr>
      <w:rFonts w:ascii="Times New Roman" w:eastAsia="宋体" w:hAnsi="Times New Roman" w:cs="Times New Roman"/>
      <w:kern w:val="0"/>
      <w:position w:val="4"/>
      <w:sz w:val="20"/>
      <w:szCs w:val="21"/>
    </w:rPr>
  </w:style>
  <w:style w:type="paragraph" w:customStyle="1" w:styleId="110">
    <w:name w:val="列出段落11"/>
    <w:basedOn w:val="a"/>
    <w:qFormat/>
    <w:pPr>
      <w:widowControl/>
      <w:spacing w:line="360" w:lineRule="auto"/>
      <w:ind w:firstLineChars="200" w:firstLine="420"/>
    </w:pPr>
    <w:rPr>
      <w:szCs w:val="21"/>
    </w:rPr>
  </w:style>
  <w:style w:type="character" w:customStyle="1" w:styleId="a6">
    <w:name w:val="正文文本 字符"/>
    <w:basedOn w:val="a0"/>
    <w:link w:val="a5"/>
    <w:uiPriority w:val="99"/>
    <w:qFormat/>
    <w:rPr>
      <w:rFonts w:ascii="Times New Roman" w:eastAsia="宋体" w:hAnsi="Times New Roman" w:cs="Times New Roman"/>
      <w:spacing w:val="-8"/>
      <w:kern w:val="0"/>
      <w:sz w:val="18"/>
      <w:szCs w:val="24"/>
    </w:rPr>
  </w:style>
  <w:style w:type="paragraph" w:customStyle="1" w:styleId="21">
    <w:name w:val="正文文本 21"/>
    <w:basedOn w:val="a"/>
    <w:qFormat/>
    <w:pPr>
      <w:spacing w:line="380" w:lineRule="exact"/>
      <w:jc w:val="center"/>
    </w:pPr>
    <w:rPr>
      <w:spacing w:val="-8"/>
      <w:kern w:val="0"/>
      <w:sz w:val="24"/>
      <w:szCs w:val="24"/>
    </w:rPr>
  </w:style>
  <w:style w:type="paragraph" w:customStyle="1" w:styleId="1">
    <w:name w:val="修订1"/>
    <w:hidden/>
    <w:uiPriority w:val="99"/>
    <w:semiHidden/>
    <w:qFormat/>
    <w:rPr>
      <w:kern w:val="2"/>
      <w:sz w:val="21"/>
    </w:rPr>
  </w:style>
  <w:style w:type="character" w:customStyle="1" w:styleId="a4">
    <w:name w:val="批注文字 字符"/>
    <w:basedOn w:val="a0"/>
    <w:link w:val="a3"/>
    <w:uiPriority w:val="99"/>
    <w:qFormat/>
    <w:rPr>
      <w:kern w:val="2"/>
      <w:sz w:val="21"/>
    </w:rPr>
  </w:style>
  <w:style w:type="paragraph" w:customStyle="1" w:styleId="2">
    <w:name w:val="修订2"/>
    <w:hidden/>
    <w:uiPriority w:val="99"/>
    <w:semiHidden/>
    <w:qFormat/>
    <w:rPr>
      <w:kern w:val="2"/>
      <w:sz w:val="21"/>
    </w:rPr>
  </w:style>
  <w:style w:type="paragraph" w:styleId="af1">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3"/>
    <customShpInfo spid="_x0000_s2051"/>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135</Words>
  <Characters>771</Characters>
  <Application>Microsoft Office Word</Application>
  <DocSecurity>0</DocSecurity>
  <Lines>6</Lines>
  <Paragraphs>1</Paragraphs>
  <ScaleCrop>false</ScaleCrop>
  <Company>Microsoft</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考虑点</dc:creator>
  <cp:lastModifiedBy>陈蕾</cp:lastModifiedBy>
  <cp:revision>9</cp:revision>
  <dcterms:created xsi:type="dcterms:W3CDTF">2023-06-12T05:18:00Z</dcterms:created>
  <dcterms:modified xsi:type="dcterms:W3CDTF">2023-08-04T07:23:00Z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8890D55361944546A8F825A09A991AD9_13</vt:lpwstr>
  </property>
</Properties>
</file>