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9605" w14:textId="01EDFE41" w:rsidR="00BA0C0B" w:rsidRPr="00271E5D" w:rsidRDefault="00010B20" w:rsidP="00271E5D">
      <w:pPr>
        <w:adjustRightInd w:val="0"/>
        <w:snapToGrid w:val="0"/>
        <w:spacing w:beforeLines="50" w:before="156" w:line="360" w:lineRule="auto"/>
        <w:jc w:val="center"/>
        <w:rPr>
          <w:b/>
          <w:color w:val="000000" w:themeColor="text1"/>
          <w:sz w:val="24"/>
          <w:szCs w:val="24"/>
        </w:rPr>
      </w:pPr>
      <w:r w:rsidRPr="00271E5D">
        <w:rPr>
          <w:b/>
          <w:bCs/>
          <w:color w:val="000000" w:themeColor="text1"/>
          <w:sz w:val="24"/>
          <w:szCs w:val="24"/>
        </w:rPr>
        <w:t>5102</w:t>
      </w:r>
      <w:r w:rsidR="00B22192" w:rsidRPr="00271E5D">
        <w:rPr>
          <w:b/>
          <w:bCs/>
          <w:color w:val="000000" w:themeColor="text1"/>
          <w:sz w:val="24"/>
          <w:szCs w:val="24"/>
        </w:rPr>
        <w:t xml:space="preserve"> </w:t>
      </w:r>
      <w:r w:rsidRPr="00271E5D">
        <w:rPr>
          <w:b/>
          <w:color w:val="000000" w:themeColor="text1"/>
          <w:sz w:val="24"/>
          <w:szCs w:val="24"/>
        </w:rPr>
        <w:t>General Chapter on Glass Ampoules</w:t>
      </w:r>
    </w:p>
    <w:p w14:paraId="7E71090A" w14:textId="77777777" w:rsidR="00BA0C0B" w:rsidRPr="00271E5D" w:rsidRDefault="00BA0C0B" w:rsidP="00271E5D">
      <w:pPr>
        <w:adjustRightInd w:val="0"/>
        <w:snapToGrid w:val="0"/>
        <w:spacing w:beforeLines="50" w:before="156" w:line="360" w:lineRule="auto"/>
        <w:jc w:val="center"/>
        <w:rPr>
          <w:b/>
          <w:bCs/>
          <w:color w:val="000000" w:themeColor="text1"/>
        </w:rPr>
      </w:pPr>
    </w:p>
    <w:p w14:paraId="09CC7F2E" w14:textId="77777777" w:rsidR="00BA0C0B" w:rsidRPr="00271E5D" w:rsidRDefault="00010B20" w:rsidP="00271E5D">
      <w:pPr>
        <w:adjustRightInd w:val="0"/>
        <w:snapToGrid w:val="0"/>
        <w:spacing w:beforeLines="50" w:before="156" w:line="360" w:lineRule="auto"/>
        <w:jc w:val="left"/>
        <w:rPr>
          <w:b/>
          <w:bCs/>
          <w:color w:val="000000" w:themeColor="text1"/>
        </w:rPr>
      </w:pPr>
      <w:r w:rsidRPr="00271E5D">
        <w:rPr>
          <w:b/>
          <w:bCs/>
          <w:color w:val="000000" w:themeColor="text1"/>
        </w:rPr>
        <w:t>1 Scope</w:t>
      </w:r>
    </w:p>
    <w:p w14:paraId="130594FC" w14:textId="7E2CF9E9" w:rsidR="00BA0C0B" w:rsidRPr="00271E5D" w:rsidRDefault="00010B20" w:rsidP="00271E5D">
      <w:pPr>
        <w:adjustRightInd w:val="0"/>
        <w:snapToGrid w:val="0"/>
        <w:spacing w:beforeLines="50" w:before="156" w:line="360" w:lineRule="auto"/>
        <w:jc w:val="left"/>
        <w:rPr>
          <w:bCs/>
          <w:color w:val="000000" w:themeColor="text1"/>
        </w:rPr>
      </w:pPr>
      <w:r w:rsidRPr="00271E5D">
        <w:rPr>
          <w:bCs/>
          <w:color w:val="000000" w:themeColor="text1"/>
        </w:rPr>
        <w:t xml:space="preserve">This General chapter specifies the classification and requirements for glass </w:t>
      </w:r>
      <w:r w:rsidR="00656025" w:rsidRPr="00271E5D">
        <w:rPr>
          <w:bCs/>
          <w:color w:val="000000" w:themeColor="text1"/>
        </w:rPr>
        <w:t>ampoules.</w:t>
      </w:r>
    </w:p>
    <w:p w14:paraId="186A7E1A" w14:textId="7DAAC2AC" w:rsidR="003F55F9" w:rsidRPr="00271E5D" w:rsidRDefault="00010B20" w:rsidP="00271E5D">
      <w:pPr>
        <w:adjustRightInd w:val="0"/>
        <w:snapToGrid w:val="0"/>
        <w:spacing w:beforeLines="50" w:before="156" w:line="360" w:lineRule="auto"/>
        <w:jc w:val="left"/>
        <w:rPr>
          <w:bCs/>
          <w:color w:val="000000" w:themeColor="text1"/>
        </w:rPr>
      </w:pPr>
      <w:r w:rsidRPr="00271E5D">
        <w:rPr>
          <w:bCs/>
          <w:color w:val="000000" w:themeColor="text1"/>
        </w:rPr>
        <w:t>This general chapter is applicable to glass ampoules containing injections.</w:t>
      </w:r>
    </w:p>
    <w:p w14:paraId="16B5DE49" w14:textId="6AD4E2F8" w:rsidR="00BA0C0B" w:rsidRPr="00271E5D" w:rsidRDefault="008E242D" w:rsidP="00271E5D">
      <w:pPr>
        <w:adjustRightInd w:val="0"/>
        <w:snapToGrid w:val="0"/>
        <w:spacing w:beforeLines="50" w:before="156" w:line="360" w:lineRule="auto"/>
        <w:jc w:val="left"/>
        <w:rPr>
          <w:b/>
          <w:color w:val="000000" w:themeColor="text1"/>
        </w:rPr>
      </w:pPr>
      <w:r w:rsidRPr="00D605E2">
        <w:rPr>
          <w:b/>
          <w:color w:val="000000" w:themeColor="text1"/>
        </w:rPr>
        <w:t>2</w:t>
      </w:r>
      <w:r w:rsidRPr="00271E5D">
        <w:rPr>
          <w:b/>
          <w:color w:val="000000" w:themeColor="text1"/>
        </w:rPr>
        <w:t xml:space="preserve"> Classification</w:t>
      </w:r>
    </w:p>
    <w:p w14:paraId="4C135739" w14:textId="3E015816" w:rsidR="00200571" w:rsidRPr="00D605E2" w:rsidRDefault="00200571" w:rsidP="00271E5D">
      <w:pPr>
        <w:adjustRightInd w:val="0"/>
        <w:snapToGrid w:val="0"/>
        <w:spacing w:beforeLines="50" w:before="156" w:line="360" w:lineRule="auto"/>
        <w:jc w:val="left"/>
        <w:rPr>
          <w:bCs/>
          <w:color w:val="000000" w:themeColor="text1"/>
        </w:rPr>
      </w:pPr>
      <w:r w:rsidRPr="00D605E2">
        <w:rPr>
          <w:bCs/>
          <w:color w:val="000000" w:themeColor="text1"/>
        </w:rPr>
        <w:t>Glass ampoules are made of borosilicate glass and can be classified in terms of the color of the glass and the easy-breaking ways of ampoules.</w:t>
      </w:r>
    </w:p>
    <w:p w14:paraId="0010AEDB" w14:textId="76515309" w:rsidR="00BA0C0B" w:rsidRPr="00271E5D" w:rsidRDefault="00010B20" w:rsidP="00271E5D">
      <w:pPr>
        <w:adjustRightInd w:val="0"/>
        <w:snapToGrid w:val="0"/>
        <w:spacing w:beforeLines="50" w:before="156" w:line="360" w:lineRule="auto"/>
        <w:jc w:val="left"/>
        <w:rPr>
          <w:bCs/>
          <w:color w:val="000000" w:themeColor="text1"/>
        </w:rPr>
      </w:pPr>
      <w:r w:rsidRPr="00271E5D">
        <w:rPr>
          <w:bCs/>
          <w:color w:val="000000" w:themeColor="text1"/>
        </w:rPr>
        <w:t xml:space="preserve">—— </w:t>
      </w:r>
      <w:r w:rsidR="00705926" w:rsidRPr="00D605E2">
        <w:rPr>
          <w:bCs/>
          <w:color w:val="000000" w:themeColor="text1"/>
        </w:rPr>
        <w:t>I</w:t>
      </w:r>
      <w:r w:rsidRPr="00271E5D">
        <w:rPr>
          <w:bCs/>
          <w:color w:val="000000" w:themeColor="text1"/>
        </w:rPr>
        <w:t xml:space="preserve">n terms of color, it can be </w:t>
      </w:r>
      <w:r w:rsidR="00530FDB" w:rsidRPr="00D605E2">
        <w:rPr>
          <w:bCs/>
          <w:color w:val="000000" w:themeColor="text1"/>
        </w:rPr>
        <w:t>c</w:t>
      </w:r>
      <w:r w:rsidRPr="00271E5D">
        <w:rPr>
          <w:bCs/>
          <w:color w:val="000000" w:themeColor="text1"/>
        </w:rPr>
        <w:t xml:space="preserve">lassified </w:t>
      </w:r>
      <w:r w:rsidR="00B22192" w:rsidRPr="00D605E2">
        <w:rPr>
          <w:bCs/>
          <w:color w:val="000000" w:themeColor="text1"/>
        </w:rPr>
        <w:t>as</w:t>
      </w:r>
      <w:r w:rsidR="00B22192" w:rsidRPr="00271E5D">
        <w:rPr>
          <w:bCs/>
          <w:color w:val="000000" w:themeColor="text1"/>
        </w:rPr>
        <w:t xml:space="preserve"> </w:t>
      </w:r>
      <w:r w:rsidRPr="00271E5D">
        <w:rPr>
          <w:bCs/>
          <w:color w:val="000000" w:themeColor="text1"/>
        </w:rPr>
        <w:t>colorless</w:t>
      </w:r>
      <w:r w:rsidR="00B22192" w:rsidRPr="00D605E2">
        <w:rPr>
          <w:bCs/>
          <w:color w:val="000000" w:themeColor="text1"/>
        </w:rPr>
        <w:t xml:space="preserve"> glass ampoul</w:t>
      </w:r>
      <w:r w:rsidR="00A50B7E" w:rsidRPr="00D605E2">
        <w:rPr>
          <w:bCs/>
          <w:color w:val="000000" w:themeColor="text1"/>
        </w:rPr>
        <w:t>e</w:t>
      </w:r>
      <w:r w:rsidR="00B22192" w:rsidRPr="00D605E2">
        <w:rPr>
          <w:bCs/>
          <w:color w:val="000000" w:themeColor="text1"/>
        </w:rPr>
        <w:t>s</w:t>
      </w:r>
      <w:r w:rsidRPr="00271E5D">
        <w:rPr>
          <w:bCs/>
          <w:color w:val="000000" w:themeColor="text1"/>
        </w:rPr>
        <w:t xml:space="preserve"> and amber glass ampoules.</w:t>
      </w:r>
    </w:p>
    <w:p w14:paraId="1D97703E" w14:textId="2942B984" w:rsidR="003F55F9" w:rsidRPr="00271E5D" w:rsidRDefault="00010B20" w:rsidP="00271E5D">
      <w:pPr>
        <w:adjustRightInd w:val="0"/>
        <w:snapToGrid w:val="0"/>
        <w:spacing w:beforeLines="50" w:before="156" w:line="360" w:lineRule="auto"/>
        <w:jc w:val="left"/>
        <w:rPr>
          <w:bCs/>
          <w:color w:val="000000" w:themeColor="text1"/>
        </w:rPr>
      </w:pPr>
      <w:r w:rsidRPr="00271E5D">
        <w:rPr>
          <w:bCs/>
          <w:color w:val="000000" w:themeColor="text1"/>
        </w:rPr>
        <w:t xml:space="preserve">—— </w:t>
      </w:r>
      <w:r w:rsidR="00705926" w:rsidRPr="00D605E2">
        <w:rPr>
          <w:bCs/>
          <w:color w:val="000000" w:themeColor="text1"/>
        </w:rPr>
        <w:t>I</w:t>
      </w:r>
      <w:r w:rsidRPr="00271E5D">
        <w:rPr>
          <w:bCs/>
          <w:color w:val="000000" w:themeColor="text1"/>
        </w:rPr>
        <w:t xml:space="preserve">n terms of easy-breaking way, it can be </w:t>
      </w:r>
      <w:r w:rsidR="00530FDB" w:rsidRPr="00D605E2">
        <w:rPr>
          <w:bCs/>
          <w:color w:val="000000" w:themeColor="text1"/>
        </w:rPr>
        <w:t>c</w:t>
      </w:r>
      <w:r w:rsidRPr="00271E5D">
        <w:rPr>
          <w:bCs/>
          <w:color w:val="000000" w:themeColor="text1"/>
        </w:rPr>
        <w:t>lassified</w:t>
      </w:r>
      <w:r w:rsidR="00B22192" w:rsidRPr="00D605E2">
        <w:rPr>
          <w:bCs/>
          <w:color w:val="000000" w:themeColor="text1"/>
        </w:rPr>
        <w:t xml:space="preserve"> as</w:t>
      </w:r>
      <w:r w:rsidRPr="00271E5D">
        <w:rPr>
          <w:bCs/>
          <w:color w:val="000000" w:themeColor="text1"/>
        </w:rPr>
        <w:t xml:space="preserve"> easy-breaking glass ampoules with dots and easy-breaking glass ampoules with chromatic circle.</w:t>
      </w:r>
    </w:p>
    <w:p w14:paraId="3EBCD6C3" w14:textId="746E2217" w:rsidR="00B22192" w:rsidRPr="00D605E2" w:rsidRDefault="008E242D" w:rsidP="00271E5D">
      <w:pPr>
        <w:adjustRightInd w:val="0"/>
        <w:snapToGrid w:val="0"/>
        <w:spacing w:beforeLines="50" w:before="156" w:line="360" w:lineRule="auto"/>
        <w:jc w:val="left"/>
        <w:rPr>
          <w:b/>
          <w:bCs/>
          <w:color w:val="000000" w:themeColor="text1"/>
        </w:rPr>
      </w:pPr>
      <w:r w:rsidRPr="00D605E2">
        <w:rPr>
          <w:b/>
          <w:bCs/>
          <w:color w:val="000000" w:themeColor="text1"/>
        </w:rPr>
        <w:t>3</w:t>
      </w:r>
      <w:r w:rsidR="00B22192" w:rsidRPr="00D605E2">
        <w:rPr>
          <w:b/>
          <w:bCs/>
          <w:color w:val="000000" w:themeColor="text1"/>
        </w:rPr>
        <w:t xml:space="preserve"> Requirements</w:t>
      </w:r>
    </w:p>
    <w:p w14:paraId="0911B7BC" w14:textId="4AE3CF35" w:rsidR="003F55F9" w:rsidRPr="00271E5D" w:rsidRDefault="003F55F9" w:rsidP="00271E5D">
      <w:pPr>
        <w:adjustRightInd w:val="0"/>
        <w:snapToGrid w:val="0"/>
        <w:spacing w:beforeLines="50" w:before="156" w:line="360" w:lineRule="auto"/>
        <w:jc w:val="left"/>
        <w:rPr>
          <w:bCs/>
          <w:color w:val="000000" w:themeColor="text1"/>
        </w:rPr>
      </w:pPr>
      <w:r w:rsidRPr="00D605E2">
        <w:rPr>
          <w:bCs/>
          <w:color w:val="000000" w:themeColor="text1"/>
        </w:rPr>
        <w:t>The quality of glass ampoules shall comply with General Chapter on Glass Containers for Pharmaceutical Packaging (General Chapter 5100) and meet the following requirements.</w:t>
      </w:r>
    </w:p>
    <w:p w14:paraId="2FFFEF9F" w14:textId="1AF76792" w:rsidR="003F55F9" w:rsidRPr="00271E5D" w:rsidRDefault="008E242D" w:rsidP="00271E5D">
      <w:pPr>
        <w:adjustRightInd w:val="0"/>
        <w:snapToGrid w:val="0"/>
        <w:spacing w:beforeLines="50" w:before="156" w:line="360" w:lineRule="auto"/>
        <w:jc w:val="left"/>
        <w:rPr>
          <w:b/>
          <w:bCs/>
          <w:color w:val="000000" w:themeColor="text1"/>
          <w:szCs w:val="21"/>
        </w:rPr>
      </w:pPr>
      <w:r w:rsidRPr="00271E5D">
        <w:rPr>
          <w:b/>
          <w:bCs/>
          <w:color w:val="000000" w:themeColor="text1"/>
          <w:szCs w:val="21"/>
        </w:rPr>
        <w:t>3</w:t>
      </w:r>
      <w:r w:rsidR="003F55F9" w:rsidRPr="00271E5D">
        <w:rPr>
          <w:b/>
          <w:bCs/>
          <w:color w:val="000000" w:themeColor="text1"/>
          <w:szCs w:val="21"/>
        </w:rPr>
        <w:t>.1</w:t>
      </w:r>
      <w:r w:rsidR="003F55F9" w:rsidRPr="00271E5D">
        <w:rPr>
          <w:b/>
          <w:bCs/>
          <w:color w:val="000000" w:themeColor="text1"/>
          <w:szCs w:val="21"/>
        </w:rPr>
        <w:tab/>
      </w:r>
      <w:r w:rsidR="003F55F9" w:rsidRPr="00D605E2">
        <w:rPr>
          <w:b/>
          <w:bCs/>
          <w:color w:val="000000" w:themeColor="text1"/>
          <w:szCs w:val="21"/>
        </w:rPr>
        <w:t>Appearance</w:t>
      </w:r>
      <w:r w:rsidR="003F55F9" w:rsidRPr="00271E5D">
        <w:rPr>
          <w:b/>
          <w:bCs/>
          <w:color w:val="000000" w:themeColor="text1"/>
          <w:szCs w:val="21"/>
        </w:rPr>
        <w:t xml:space="preserve"> </w:t>
      </w:r>
    </w:p>
    <w:p w14:paraId="16493871" w14:textId="204D1360" w:rsidR="003F55F9" w:rsidRPr="00D605E2" w:rsidRDefault="003F55F9" w:rsidP="00271E5D">
      <w:pPr>
        <w:adjustRightInd w:val="0"/>
        <w:snapToGrid w:val="0"/>
        <w:spacing w:beforeLines="50" w:before="156" w:line="360" w:lineRule="auto"/>
        <w:jc w:val="left"/>
        <w:rPr>
          <w:bCs/>
          <w:color w:val="000000" w:themeColor="text1"/>
        </w:rPr>
      </w:pPr>
      <w:r w:rsidRPr="00D605E2">
        <w:rPr>
          <w:color w:val="000000" w:themeColor="text1"/>
          <w:szCs w:val="21"/>
        </w:rPr>
        <w:t>It is used to control the appearance quality of glass ampoules. Carry out visual inspection by naked eyes under natural and bright light. The appearance quality shall meet to the enterprise specification or quality agreement.</w:t>
      </w:r>
    </w:p>
    <w:p w14:paraId="0A04E6F7" w14:textId="01FF693F" w:rsidR="003F55F9" w:rsidRPr="00271E5D" w:rsidRDefault="008E242D" w:rsidP="00271E5D">
      <w:pPr>
        <w:adjustRightInd w:val="0"/>
        <w:snapToGrid w:val="0"/>
        <w:spacing w:beforeLines="50" w:before="156" w:line="360" w:lineRule="auto"/>
        <w:jc w:val="left"/>
        <w:rPr>
          <w:b/>
          <w:color w:val="000000" w:themeColor="text1"/>
          <w:szCs w:val="21"/>
        </w:rPr>
      </w:pPr>
      <w:r w:rsidRPr="00271E5D">
        <w:rPr>
          <w:b/>
          <w:color w:val="000000" w:themeColor="text1"/>
          <w:szCs w:val="21"/>
        </w:rPr>
        <w:t>3</w:t>
      </w:r>
      <w:r w:rsidR="003F55F9" w:rsidRPr="00271E5D">
        <w:rPr>
          <w:b/>
          <w:color w:val="000000" w:themeColor="text1"/>
          <w:szCs w:val="21"/>
        </w:rPr>
        <w:t xml:space="preserve">.2 </w:t>
      </w:r>
      <w:r w:rsidR="003F55F9" w:rsidRPr="00D605E2">
        <w:rPr>
          <w:b/>
          <w:color w:val="000000" w:themeColor="text1"/>
          <w:szCs w:val="21"/>
        </w:rPr>
        <w:t>Internal stress</w:t>
      </w:r>
      <w:r w:rsidR="003F55F9" w:rsidRPr="00271E5D">
        <w:rPr>
          <w:b/>
          <w:color w:val="000000" w:themeColor="text1"/>
          <w:szCs w:val="21"/>
        </w:rPr>
        <w:t xml:space="preserve"> </w:t>
      </w:r>
    </w:p>
    <w:p w14:paraId="67253954" w14:textId="291E6D8E" w:rsidR="003F55F9" w:rsidRPr="00D605E2" w:rsidRDefault="003F55F9" w:rsidP="00271E5D">
      <w:pPr>
        <w:adjustRightInd w:val="0"/>
        <w:snapToGrid w:val="0"/>
        <w:spacing w:beforeLines="50" w:before="156" w:line="360" w:lineRule="auto"/>
        <w:jc w:val="left"/>
        <w:rPr>
          <w:color w:val="000000" w:themeColor="text1"/>
          <w:szCs w:val="21"/>
        </w:rPr>
      </w:pPr>
      <w:r w:rsidRPr="00D605E2">
        <w:rPr>
          <w:color w:val="000000" w:themeColor="text1"/>
          <w:szCs w:val="21"/>
        </w:rPr>
        <w:t xml:space="preserve">It is used to control the residual internal stress of glass ampoule after annealing and reduce the influence of internal stress on the mechanical strength of the product. According to </w:t>
      </w:r>
      <w:r w:rsidR="00A50B7E" w:rsidRPr="00D605E2">
        <w:rPr>
          <w:color w:val="000000" w:themeColor="text1"/>
          <w:szCs w:val="21"/>
        </w:rPr>
        <w:t>Determination of Internal Stress for Glass Containers</w:t>
      </w:r>
      <w:r w:rsidRPr="00D605E2">
        <w:rPr>
          <w:color w:val="000000" w:themeColor="text1"/>
          <w:szCs w:val="21"/>
        </w:rPr>
        <w:t xml:space="preserve"> (General Chapter 4003), the optical path difference caused by the maximum permanent stress after annealing shall not exceed 40 nm/mm.</w:t>
      </w:r>
    </w:p>
    <w:p w14:paraId="68CD2730" w14:textId="4D9F2AB6" w:rsidR="001A6120" w:rsidRPr="00D605E2" w:rsidRDefault="008E242D" w:rsidP="00200571">
      <w:pPr>
        <w:adjustRightInd w:val="0"/>
        <w:snapToGrid w:val="0"/>
        <w:spacing w:beforeLines="50" w:before="156" w:line="360" w:lineRule="auto"/>
        <w:jc w:val="left"/>
        <w:rPr>
          <w:rFonts w:eastAsia="Times New Roman"/>
          <w:color w:val="000000" w:themeColor="text1"/>
        </w:rPr>
      </w:pPr>
      <w:r w:rsidRPr="00D605E2">
        <w:rPr>
          <w:rFonts w:eastAsia="Times New Roman"/>
          <w:b/>
          <w:color w:val="000000" w:themeColor="text1"/>
        </w:rPr>
        <w:t>3</w:t>
      </w:r>
      <w:r w:rsidRPr="00271E5D">
        <w:rPr>
          <w:rFonts w:eastAsia="Times New Roman"/>
          <w:b/>
          <w:color w:val="000000" w:themeColor="text1"/>
        </w:rPr>
        <w:t>.3</w:t>
      </w:r>
      <w:r w:rsidRPr="00271E5D">
        <w:rPr>
          <w:rFonts w:eastAsia="Times New Roman"/>
          <w:b/>
          <w:color w:val="000000" w:themeColor="text1"/>
        </w:rPr>
        <w:tab/>
        <w:t>Breaking force</w:t>
      </w:r>
      <w:r w:rsidRPr="00271E5D">
        <w:rPr>
          <w:rFonts w:eastAsia="Times New Roman"/>
          <w:color w:val="000000" w:themeColor="text1"/>
        </w:rPr>
        <w:t xml:space="preserve"> </w:t>
      </w:r>
    </w:p>
    <w:p w14:paraId="45636809" w14:textId="111B1353" w:rsidR="00BA0C0B" w:rsidRPr="00271E5D" w:rsidRDefault="008E242D" w:rsidP="00271E5D">
      <w:pPr>
        <w:adjustRightInd w:val="0"/>
        <w:snapToGrid w:val="0"/>
        <w:spacing w:beforeLines="50" w:before="156" w:line="360" w:lineRule="auto"/>
        <w:jc w:val="left"/>
        <w:rPr>
          <w:b/>
          <w:bCs/>
          <w:color w:val="000000" w:themeColor="text1"/>
          <w:szCs w:val="21"/>
        </w:rPr>
      </w:pPr>
      <w:r w:rsidRPr="00271E5D">
        <w:rPr>
          <w:rFonts w:eastAsia="Times New Roman"/>
          <w:color w:val="000000" w:themeColor="text1"/>
        </w:rPr>
        <w:t xml:space="preserve">It is used to control the easy-breaking property of glass ampoules. According to the </w:t>
      </w:r>
      <w:r w:rsidR="00A50B7E" w:rsidRPr="00D605E2">
        <w:rPr>
          <w:rFonts w:eastAsia="Times New Roman"/>
          <w:color w:val="000000" w:themeColor="text1"/>
        </w:rPr>
        <w:t>Determination of Breaking Force for Glass Ampoules</w:t>
      </w:r>
      <w:r w:rsidRPr="00271E5D">
        <w:rPr>
          <w:rFonts w:eastAsia="Times New Roman"/>
          <w:color w:val="000000" w:themeColor="text1"/>
        </w:rPr>
        <w:t xml:space="preserve"> (</w:t>
      </w:r>
      <w:r w:rsidR="00A50B7E" w:rsidRPr="00D605E2">
        <w:rPr>
          <w:color w:val="000000" w:themeColor="text1"/>
        </w:rPr>
        <w:t>G</w:t>
      </w:r>
      <w:r w:rsidRPr="00271E5D">
        <w:rPr>
          <w:rFonts w:eastAsia="Times New Roman"/>
          <w:color w:val="000000" w:themeColor="text1"/>
        </w:rPr>
        <w:t xml:space="preserve">eneral </w:t>
      </w:r>
      <w:r w:rsidR="00A50B7E" w:rsidRPr="00D605E2">
        <w:rPr>
          <w:color w:val="000000" w:themeColor="text1"/>
        </w:rPr>
        <w:t>C</w:t>
      </w:r>
      <w:r w:rsidRPr="00271E5D">
        <w:rPr>
          <w:color w:val="000000" w:themeColor="text1"/>
        </w:rPr>
        <w:t>hapter</w:t>
      </w:r>
      <w:r w:rsidRPr="00271E5D">
        <w:rPr>
          <w:rFonts w:eastAsia="Times New Roman"/>
          <w:color w:val="000000" w:themeColor="text1"/>
        </w:rPr>
        <w:t xml:space="preserve"> 4018), the range of breaking force should be within the level specified in Table 1.</w:t>
      </w:r>
    </w:p>
    <w:p w14:paraId="0260CA2F" w14:textId="77777777" w:rsidR="00BA0C0B" w:rsidRPr="00271E5D" w:rsidRDefault="00010B20" w:rsidP="00271E5D">
      <w:pPr>
        <w:adjustRightInd w:val="0"/>
        <w:snapToGrid w:val="0"/>
        <w:spacing w:beforeLines="50" w:before="156" w:line="360" w:lineRule="auto"/>
        <w:jc w:val="center"/>
        <w:rPr>
          <w:bCs/>
          <w:color w:val="000000" w:themeColor="text1"/>
          <w:szCs w:val="21"/>
        </w:rPr>
      </w:pPr>
      <w:r w:rsidRPr="00271E5D">
        <w:rPr>
          <w:bCs/>
          <w:color w:val="000000" w:themeColor="text1"/>
          <w:szCs w:val="21"/>
        </w:rPr>
        <w:t>Table 1</w:t>
      </w:r>
      <w:r w:rsidRPr="00271E5D">
        <w:rPr>
          <w:bCs/>
          <w:color w:val="000000" w:themeColor="text1"/>
          <w:szCs w:val="21"/>
        </w:rPr>
        <w:tab/>
        <w:t>Breaking Force of Glass Ampoules</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799"/>
        <w:gridCol w:w="1754"/>
      </w:tblGrid>
      <w:tr w:rsidR="00B22192" w:rsidRPr="00D605E2" w14:paraId="42C2DACD" w14:textId="77777777">
        <w:trPr>
          <w:cantSplit/>
          <w:jc w:val="center"/>
        </w:trPr>
        <w:tc>
          <w:tcPr>
            <w:tcW w:w="2128" w:type="dxa"/>
            <w:vMerge w:val="restart"/>
            <w:vAlign w:val="center"/>
          </w:tcPr>
          <w:p w14:paraId="676F00BC" w14:textId="2849D6C4" w:rsidR="00BA0C0B" w:rsidRPr="00271E5D" w:rsidRDefault="00010B20" w:rsidP="00271E5D">
            <w:pPr>
              <w:adjustRightInd w:val="0"/>
              <w:snapToGrid w:val="0"/>
              <w:spacing w:beforeLines="50" w:before="156" w:line="360" w:lineRule="auto"/>
              <w:jc w:val="center"/>
              <w:rPr>
                <w:color w:val="000000" w:themeColor="text1"/>
                <w:szCs w:val="21"/>
              </w:rPr>
            </w:pPr>
            <w:r w:rsidRPr="00271E5D">
              <w:rPr>
                <w:color w:val="000000" w:themeColor="text1"/>
                <w:szCs w:val="21"/>
              </w:rPr>
              <w:t>S</w:t>
            </w:r>
            <w:r w:rsidR="00200571" w:rsidRPr="00D605E2">
              <w:rPr>
                <w:color w:val="000000" w:themeColor="text1"/>
                <w:szCs w:val="21"/>
              </w:rPr>
              <w:t>ize</w:t>
            </w:r>
            <w:r w:rsidRPr="00271E5D">
              <w:rPr>
                <w:color w:val="000000" w:themeColor="text1"/>
                <w:szCs w:val="21"/>
              </w:rPr>
              <w:t xml:space="preserve"> (ml)</w:t>
            </w:r>
          </w:p>
          <w:p w14:paraId="287C0949" w14:textId="77777777" w:rsidR="00BA0C0B" w:rsidRPr="00271E5D" w:rsidRDefault="00BA0C0B" w:rsidP="00271E5D">
            <w:pPr>
              <w:adjustRightInd w:val="0"/>
              <w:snapToGrid w:val="0"/>
              <w:spacing w:beforeLines="50" w:before="156" w:line="360" w:lineRule="auto"/>
              <w:jc w:val="center"/>
              <w:rPr>
                <w:color w:val="000000" w:themeColor="text1"/>
                <w:position w:val="4"/>
                <w:szCs w:val="21"/>
              </w:rPr>
            </w:pPr>
          </w:p>
        </w:tc>
        <w:tc>
          <w:tcPr>
            <w:tcW w:w="3553" w:type="dxa"/>
            <w:gridSpan w:val="2"/>
            <w:vAlign w:val="center"/>
          </w:tcPr>
          <w:p w14:paraId="0A6794C4"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lastRenderedPageBreak/>
              <w:t>Breaking Force (N)</w:t>
            </w:r>
          </w:p>
        </w:tc>
      </w:tr>
      <w:tr w:rsidR="00B22192" w:rsidRPr="00D605E2" w14:paraId="2122A7CF" w14:textId="77777777">
        <w:trPr>
          <w:cantSplit/>
          <w:jc w:val="center"/>
        </w:trPr>
        <w:tc>
          <w:tcPr>
            <w:tcW w:w="2128" w:type="dxa"/>
            <w:vMerge/>
            <w:vAlign w:val="center"/>
          </w:tcPr>
          <w:p w14:paraId="4850BBC5"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99" w:type="dxa"/>
            <w:vAlign w:val="center"/>
          </w:tcPr>
          <w:p w14:paraId="2A829827"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Minimum</w:t>
            </w:r>
          </w:p>
        </w:tc>
        <w:tc>
          <w:tcPr>
            <w:tcW w:w="1754" w:type="dxa"/>
            <w:vAlign w:val="center"/>
          </w:tcPr>
          <w:p w14:paraId="67A0DBF1"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Maximum</w:t>
            </w:r>
          </w:p>
        </w:tc>
      </w:tr>
      <w:tr w:rsidR="00B22192" w:rsidRPr="00D605E2" w14:paraId="7C4D78E8" w14:textId="77777777">
        <w:trPr>
          <w:cantSplit/>
          <w:jc w:val="center"/>
        </w:trPr>
        <w:tc>
          <w:tcPr>
            <w:tcW w:w="2128" w:type="dxa"/>
            <w:vAlign w:val="center"/>
          </w:tcPr>
          <w:p w14:paraId="498C8252"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1</w:t>
            </w:r>
          </w:p>
        </w:tc>
        <w:tc>
          <w:tcPr>
            <w:tcW w:w="1799" w:type="dxa"/>
            <w:vMerge w:val="restart"/>
            <w:vAlign w:val="center"/>
          </w:tcPr>
          <w:p w14:paraId="2E7060A0"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25</w:t>
            </w:r>
          </w:p>
        </w:tc>
        <w:tc>
          <w:tcPr>
            <w:tcW w:w="1754" w:type="dxa"/>
            <w:vMerge w:val="restart"/>
            <w:vAlign w:val="center"/>
          </w:tcPr>
          <w:p w14:paraId="2837B5FD"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80</w:t>
            </w:r>
          </w:p>
        </w:tc>
      </w:tr>
      <w:tr w:rsidR="00B22192" w:rsidRPr="00D605E2" w14:paraId="2CC20326" w14:textId="77777777">
        <w:trPr>
          <w:cantSplit/>
          <w:jc w:val="center"/>
        </w:trPr>
        <w:tc>
          <w:tcPr>
            <w:tcW w:w="2128" w:type="dxa"/>
            <w:vAlign w:val="center"/>
          </w:tcPr>
          <w:p w14:paraId="43245FDB"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2</w:t>
            </w:r>
          </w:p>
        </w:tc>
        <w:tc>
          <w:tcPr>
            <w:tcW w:w="1799" w:type="dxa"/>
            <w:vMerge/>
            <w:vAlign w:val="center"/>
          </w:tcPr>
          <w:p w14:paraId="657E2CE6"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54" w:type="dxa"/>
            <w:vMerge/>
            <w:vAlign w:val="center"/>
          </w:tcPr>
          <w:p w14:paraId="348D5350"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r>
      <w:tr w:rsidR="00B22192" w:rsidRPr="00D605E2" w14:paraId="60376D1E" w14:textId="77777777">
        <w:trPr>
          <w:cantSplit/>
          <w:jc w:val="center"/>
        </w:trPr>
        <w:tc>
          <w:tcPr>
            <w:tcW w:w="2128" w:type="dxa"/>
            <w:vAlign w:val="center"/>
          </w:tcPr>
          <w:p w14:paraId="29FF8F8A"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3</w:t>
            </w:r>
          </w:p>
        </w:tc>
        <w:tc>
          <w:tcPr>
            <w:tcW w:w="1799" w:type="dxa"/>
            <w:vMerge/>
            <w:vAlign w:val="center"/>
          </w:tcPr>
          <w:p w14:paraId="4C326697"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54" w:type="dxa"/>
            <w:vMerge/>
            <w:vAlign w:val="center"/>
          </w:tcPr>
          <w:p w14:paraId="4496974E"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r>
      <w:tr w:rsidR="00B22192" w:rsidRPr="00D605E2" w14:paraId="29FC308D" w14:textId="77777777">
        <w:trPr>
          <w:cantSplit/>
          <w:jc w:val="center"/>
        </w:trPr>
        <w:tc>
          <w:tcPr>
            <w:tcW w:w="2128" w:type="dxa"/>
            <w:vAlign w:val="center"/>
          </w:tcPr>
          <w:p w14:paraId="4961F350"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5</w:t>
            </w:r>
          </w:p>
        </w:tc>
        <w:tc>
          <w:tcPr>
            <w:tcW w:w="1799" w:type="dxa"/>
            <w:vMerge/>
            <w:vAlign w:val="center"/>
          </w:tcPr>
          <w:p w14:paraId="4DC00E9E"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54" w:type="dxa"/>
            <w:vMerge/>
            <w:vAlign w:val="center"/>
          </w:tcPr>
          <w:p w14:paraId="5BFD92F9"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r>
      <w:tr w:rsidR="00B22192" w:rsidRPr="00D605E2" w14:paraId="645B8471" w14:textId="77777777">
        <w:trPr>
          <w:cantSplit/>
          <w:jc w:val="center"/>
        </w:trPr>
        <w:tc>
          <w:tcPr>
            <w:tcW w:w="2128" w:type="dxa"/>
            <w:vAlign w:val="center"/>
          </w:tcPr>
          <w:p w14:paraId="4ADF5FBF"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10</w:t>
            </w:r>
          </w:p>
        </w:tc>
        <w:tc>
          <w:tcPr>
            <w:tcW w:w="1799" w:type="dxa"/>
            <w:vMerge/>
            <w:vAlign w:val="center"/>
          </w:tcPr>
          <w:p w14:paraId="76690A02"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54" w:type="dxa"/>
            <w:vAlign w:val="center"/>
          </w:tcPr>
          <w:p w14:paraId="36B1F6F2"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90</w:t>
            </w:r>
          </w:p>
        </w:tc>
      </w:tr>
      <w:tr w:rsidR="00B22192" w:rsidRPr="00D605E2" w14:paraId="4F509511" w14:textId="77777777">
        <w:trPr>
          <w:cantSplit/>
          <w:jc w:val="center"/>
        </w:trPr>
        <w:tc>
          <w:tcPr>
            <w:tcW w:w="2128" w:type="dxa"/>
            <w:vAlign w:val="center"/>
          </w:tcPr>
          <w:p w14:paraId="25F4DDC9"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20</w:t>
            </w:r>
          </w:p>
        </w:tc>
        <w:tc>
          <w:tcPr>
            <w:tcW w:w="1799" w:type="dxa"/>
            <w:vMerge/>
            <w:vAlign w:val="center"/>
          </w:tcPr>
          <w:p w14:paraId="3DED2FBA"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54" w:type="dxa"/>
            <w:vMerge w:val="restart"/>
            <w:vAlign w:val="center"/>
          </w:tcPr>
          <w:p w14:paraId="4F4CC5E4"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100</w:t>
            </w:r>
          </w:p>
        </w:tc>
      </w:tr>
      <w:tr w:rsidR="00B22192" w:rsidRPr="00D605E2" w14:paraId="2B2F915A" w14:textId="77777777">
        <w:trPr>
          <w:cantSplit/>
          <w:jc w:val="center"/>
        </w:trPr>
        <w:tc>
          <w:tcPr>
            <w:tcW w:w="2128" w:type="dxa"/>
            <w:vAlign w:val="center"/>
          </w:tcPr>
          <w:p w14:paraId="617393D3"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25</w:t>
            </w:r>
          </w:p>
        </w:tc>
        <w:tc>
          <w:tcPr>
            <w:tcW w:w="1799" w:type="dxa"/>
            <w:vMerge/>
            <w:vAlign w:val="center"/>
          </w:tcPr>
          <w:p w14:paraId="29FB0003"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54" w:type="dxa"/>
            <w:vMerge/>
            <w:vAlign w:val="center"/>
          </w:tcPr>
          <w:p w14:paraId="1D3C3E52"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r>
      <w:tr w:rsidR="00BA0C0B" w:rsidRPr="00D605E2" w14:paraId="488CFE96" w14:textId="77777777">
        <w:trPr>
          <w:cantSplit/>
          <w:trHeight w:val="77"/>
          <w:jc w:val="center"/>
        </w:trPr>
        <w:tc>
          <w:tcPr>
            <w:tcW w:w="2128" w:type="dxa"/>
            <w:vAlign w:val="center"/>
          </w:tcPr>
          <w:p w14:paraId="5AE8010F" w14:textId="77777777" w:rsidR="00BA0C0B" w:rsidRPr="00271E5D" w:rsidRDefault="00010B20" w:rsidP="00271E5D">
            <w:pPr>
              <w:adjustRightInd w:val="0"/>
              <w:snapToGrid w:val="0"/>
              <w:spacing w:beforeLines="50" w:before="156" w:line="360" w:lineRule="auto"/>
              <w:jc w:val="center"/>
              <w:rPr>
                <w:color w:val="000000" w:themeColor="text1"/>
                <w:position w:val="4"/>
                <w:szCs w:val="21"/>
              </w:rPr>
            </w:pPr>
            <w:r w:rsidRPr="00271E5D">
              <w:rPr>
                <w:color w:val="000000" w:themeColor="text1"/>
                <w:position w:val="4"/>
                <w:szCs w:val="21"/>
              </w:rPr>
              <w:t>30</w:t>
            </w:r>
          </w:p>
        </w:tc>
        <w:tc>
          <w:tcPr>
            <w:tcW w:w="1799" w:type="dxa"/>
            <w:vMerge/>
            <w:vAlign w:val="center"/>
          </w:tcPr>
          <w:p w14:paraId="117D94B6"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c>
          <w:tcPr>
            <w:tcW w:w="1754" w:type="dxa"/>
            <w:vMerge/>
            <w:vAlign w:val="center"/>
          </w:tcPr>
          <w:p w14:paraId="19BED20D" w14:textId="77777777" w:rsidR="00BA0C0B" w:rsidRPr="00271E5D" w:rsidRDefault="00BA0C0B" w:rsidP="00271E5D">
            <w:pPr>
              <w:adjustRightInd w:val="0"/>
              <w:snapToGrid w:val="0"/>
              <w:spacing w:beforeLines="50" w:before="156" w:line="360" w:lineRule="auto"/>
              <w:jc w:val="left"/>
              <w:rPr>
                <w:color w:val="000000" w:themeColor="text1"/>
                <w:position w:val="4"/>
                <w:szCs w:val="21"/>
              </w:rPr>
            </w:pPr>
          </w:p>
        </w:tc>
      </w:tr>
    </w:tbl>
    <w:p w14:paraId="43AF36ED" w14:textId="77777777" w:rsidR="00BA0C0B" w:rsidRPr="00271E5D" w:rsidRDefault="00BA0C0B" w:rsidP="00271E5D">
      <w:pPr>
        <w:pStyle w:val="a3"/>
        <w:suppressLineNumbers/>
        <w:adjustRightInd w:val="0"/>
        <w:snapToGrid w:val="0"/>
        <w:spacing w:beforeLines="50" w:before="156" w:line="360" w:lineRule="auto"/>
        <w:rPr>
          <w:rFonts w:ascii="Times New Roman" w:hAnsi="Times New Roman" w:cs="Times New Roman"/>
          <w:color w:val="000000" w:themeColor="text1"/>
          <w:sz w:val="24"/>
          <w:szCs w:val="24"/>
        </w:rPr>
      </w:pPr>
    </w:p>
    <w:p w14:paraId="33DAEB87" w14:textId="77777777" w:rsidR="00BA0C0B" w:rsidRPr="00271E5D" w:rsidRDefault="00010B20" w:rsidP="00271E5D">
      <w:pPr>
        <w:pStyle w:val="a3"/>
        <w:suppressLineNumbers/>
        <w:adjustRightInd w:val="0"/>
        <w:snapToGrid w:val="0"/>
        <w:spacing w:beforeLines="50" w:before="156" w:line="360" w:lineRule="auto"/>
        <w:rPr>
          <w:rFonts w:ascii="Times New Roman" w:hAnsi="Times New Roman" w:cs="Times New Roman"/>
          <w:color w:val="000000" w:themeColor="text1"/>
          <w:sz w:val="24"/>
          <w:szCs w:val="24"/>
        </w:rPr>
      </w:pPr>
      <w:r w:rsidRPr="00271E5D">
        <w:rPr>
          <w:rFonts w:ascii="Times New Roman" w:hAnsi="Times New Roman" w:cs="Times New Roman"/>
          <w:noProof/>
          <w:color w:val="000000" w:themeColor="text1"/>
          <w:sz w:val="24"/>
        </w:rPr>
        <mc:AlternateContent>
          <mc:Choice Requires="wps">
            <w:drawing>
              <wp:anchor distT="0" distB="0" distL="114300" distR="114300" simplePos="0" relativeHeight="251660288" behindDoc="0" locked="0" layoutInCell="1" allowOverlap="1" wp14:anchorId="02CF0B09" wp14:editId="5BE70F91">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50F1BA8"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05pt,6.85pt" to="402.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"/>
            </w:pict>
          </mc:Fallback>
        </mc:AlternateContent>
      </w:r>
    </w:p>
    <w:p w14:paraId="708A742E" w14:textId="77777777" w:rsidR="00BA0C0B" w:rsidRPr="00271E5D" w:rsidRDefault="00010B20" w:rsidP="00271E5D">
      <w:pPr>
        <w:pStyle w:val="a3"/>
        <w:suppressLineNumbers/>
        <w:adjustRightInd w:val="0"/>
        <w:snapToGrid w:val="0"/>
        <w:spacing w:beforeLines="50" w:before="156" w:line="360" w:lineRule="auto"/>
        <w:rPr>
          <w:rFonts w:ascii="Times New Roman" w:hAnsi="Times New Roman" w:cs="Times New Roman"/>
          <w:color w:val="000000" w:themeColor="text1"/>
          <w:sz w:val="21"/>
          <w:szCs w:val="21"/>
        </w:rPr>
      </w:pPr>
      <w:r w:rsidRPr="00271E5D">
        <w:rPr>
          <w:rFonts w:ascii="Times New Roman" w:hAnsi="Times New Roman" w:cs="Times New Roman" w:hint="eastAsia"/>
          <w:color w:val="000000" w:themeColor="text1"/>
          <w:sz w:val="21"/>
          <w:szCs w:val="21"/>
        </w:rPr>
        <w:t>起草单位：中国医药包装协会</w:t>
      </w:r>
      <w:r w:rsidRPr="00271E5D">
        <w:rPr>
          <w:rFonts w:ascii="Times New Roman" w:hAnsi="Times New Roman" w:cs="Times New Roman"/>
          <w:color w:val="000000" w:themeColor="text1"/>
          <w:sz w:val="21"/>
          <w:szCs w:val="21"/>
        </w:rPr>
        <w:t xml:space="preserve">           </w:t>
      </w:r>
      <w:r w:rsidRPr="00271E5D">
        <w:rPr>
          <w:rFonts w:ascii="Times New Roman" w:hAnsi="Times New Roman" w:cs="Times New Roman" w:hint="eastAsia"/>
          <w:color w:val="000000" w:themeColor="text1"/>
          <w:sz w:val="21"/>
          <w:szCs w:val="21"/>
        </w:rPr>
        <w:t>联系电话：</w:t>
      </w:r>
      <w:r w:rsidRPr="00271E5D">
        <w:rPr>
          <w:rFonts w:ascii="Times New Roman" w:hAnsi="Times New Roman" w:cs="Times New Roman"/>
          <w:color w:val="000000" w:themeColor="text1"/>
          <w:sz w:val="21"/>
          <w:szCs w:val="21"/>
        </w:rPr>
        <w:t xml:space="preserve">  010-62267215</w:t>
      </w:r>
    </w:p>
    <w:p w14:paraId="0A97F642" w14:textId="77777777" w:rsidR="00BA0C0B" w:rsidRPr="00271E5D" w:rsidRDefault="00010B20" w:rsidP="00271E5D">
      <w:pPr>
        <w:pStyle w:val="a3"/>
        <w:suppressLineNumbers/>
        <w:adjustRightInd w:val="0"/>
        <w:snapToGrid w:val="0"/>
        <w:spacing w:beforeLines="50" w:before="156" w:line="360" w:lineRule="auto"/>
        <w:rPr>
          <w:rFonts w:ascii="Times New Roman" w:hAnsi="Times New Roman" w:cs="Times New Roman"/>
          <w:color w:val="000000" w:themeColor="text1"/>
          <w:sz w:val="21"/>
          <w:szCs w:val="21"/>
        </w:rPr>
      </w:pPr>
      <w:r w:rsidRPr="00271E5D">
        <w:rPr>
          <w:rFonts w:ascii="Times New Roman" w:hAnsi="Times New Roman" w:cs="Times New Roman" w:hint="eastAsia"/>
          <w:color w:val="000000" w:themeColor="text1"/>
          <w:sz w:val="21"/>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玻管（浙江）有限公司、欧璧医药包装科技（中国）有限公司、湛江圣华玻璃容器有限公司、尼普洛医药包装容器（上海）有限公司、山东威高普瑞医药包装有限公司</w:t>
      </w:r>
    </w:p>
    <w:sectPr w:rsidR="00BA0C0B" w:rsidRPr="00271E5D">
      <w:headerReference w:type="even" r:id="rId7"/>
      <w:headerReference w:type="default" r:id="rId8"/>
      <w:headerReference w:type="first" r:id="rId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88E0" w14:textId="77777777" w:rsidR="009F1FEC" w:rsidRDefault="009F1FEC">
      <w:r>
        <w:separator/>
      </w:r>
    </w:p>
  </w:endnote>
  <w:endnote w:type="continuationSeparator" w:id="0">
    <w:p w14:paraId="1C1AA926" w14:textId="77777777" w:rsidR="009F1FEC" w:rsidRDefault="009F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A545" w14:textId="77777777" w:rsidR="009F1FEC" w:rsidRDefault="009F1FEC">
      <w:r>
        <w:separator/>
      </w:r>
    </w:p>
  </w:footnote>
  <w:footnote w:type="continuationSeparator" w:id="0">
    <w:p w14:paraId="3BA3BD8B" w14:textId="77777777" w:rsidR="009F1FEC" w:rsidRDefault="009F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FB0D" w14:textId="33B73237" w:rsidR="00C76ECC" w:rsidRDefault="00000000">
    <w:pPr>
      <w:pStyle w:val="a5"/>
    </w:pPr>
    <w:r>
      <w:rPr>
        <w:noProof/>
      </w:rPr>
      <w:pict w14:anchorId="67689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9775" o:spid="_x0000_s1026"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685" w14:textId="2C323631" w:rsidR="00BA0C0B" w:rsidRDefault="00000000">
    <w:pPr>
      <w:pStyle w:val="a5"/>
    </w:pPr>
    <w:r>
      <w:rPr>
        <w:noProof/>
      </w:rPr>
      <w:pict w14:anchorId="5AA1E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9776" o:spid="_x0000_s1027" type="#_x0000_t136" style="position:absolute;left:0;text-align:left;margin-left:0;margin-top:0;width:439.15pt;height:146.35pt;rotation:315;z-index:-251651072;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010B20">
      <w:rPr>
        <w:noProof/>
      </w:rPr>
      <mc:AlternateContent>
        <mc:Choice Requires="wps">
          <w:drawing>
            <wp:anchor distT="0" distB="0" distL="114300" distR="114300" simplePos="0" relativeHeight="251659264" behindDoc="1" locked="0" layoutInCell="1" allowOverlap="1" wp14:anchorId="60AAC52E" wp14:editId="125B62F6">
              <wp:simplePos x="0" y="0"/>
              <wp:positionH relativeFrom="margin">
                <wp:align>center</wp:align>
              </wp:positionH>
              <wp:positionV relativeFrom="margin">
                <wp:align>center</wp:align>
              </wp:positionV>
              <wp:extent cx="5405755" cy="2052320"/>
              <wp:effectExtent l="0" t="1390650" r="0" b="1348105"/>
              <wp:wrapNone/>
              <wp:docPr id="2" name="WordAr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5405755" cy="2052320"/>
                      </a:xfrm>
                      <a:prstGeom prst="rect">
                        <a:avLst/>
                      </a:prstGeom>
                    </wps:spPr>
                    <wps:txbx>
                      <w:txbxContent>
                        <w:p w14:paraId="56F02466" w14:textId="77777777" w:rsidR="00BA0C0B" w:rsidRDefault="00010B20">
                          <w:pPr>
                            <w:pStyle w:val="a6"/>
                            <w:spacing w:before="0" w:beforeAutospacing="0" w:after="0" w:afterAutospacing="0"/>
                            <w:jc w:val="center"/>
                          </w:pPr>
                          <w:r>
                            <w:rPr>
                              <w:rFonts w:ascii="新宋体" w:eastAsia="新宋体" w:hAnsi="新宋体" w:hint="eastAsia"/>
                              <w:color w:val="C0C0C0"/>
                              <w:sz w:val="72"/>
                              <w:szCs w:val="72"/>
                              <w14:textFill>
                                <w14:solidFill>
                                  <w14:srgbClr w14:val="C0C0C0">
                                    <w14:alpha w14:val="62000"/>
                                  </w14:srgbClr>
                                </w14:solidFill>
                              </w14:textFill>
                            </w:rPr>
                            <w:t>公示稿</w:t>
                          </w:r>
                        </w:p>
                      </w:txbxContent>
                    </wps:txbx>
                    <wps:bodyPr wrap="square" numCol="1" fromWordArt="1">
                      <a:prstTxWarp prst="textPlain">
                        <a:avLst>
                          <a:gd name="adj" fmla="val 50000"/>
                        </a:avLst>
                      </a:prstTxWarp>
                      <a:spAutoFit/>
                    </wps:bodyPr>
                  </wps:wsp>
                </a:graphicData>
              </a:graphic>
            </wp:anchor>
          </w:drawing>
        </mc:Choice>
        <mc:Fallback>
          <w:pict>
            <v:shapetype w14:anchorId="60AAC52E" id="_x0000_t202" coordsize="21600,21600" o:spt="202" path="m,l,21600r21600,l21600,xe">
              <v:stroke joinstyle="miter"/>
              <v:path gradientshapeok="t" o:connecttype="rect"/>
            </v:shapetype>
            <v:shape id="WordArt 4" o:spid="_x0000_s1026" type="#_x0000_t202" style="position:absolute;left:0;text-align:left;margin-left:0;margin-top:0;width:425.65pt;height:161.6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" filled="f" stroked="f">
              <o:lock v:ext="edit" aspectratio="t" shapetype="t"/>
              <v:textbox style="mso-fit-shape-to-text:t">
                <w:txbxContent>
                  <w:p w14:paraId="56F02466" w14:textId="77777777" w:rsidR="00BA0C0B" w:rsidRDefault="00010B20">
                    <w:pPr>
                      <w:pStyle w:val="a6"/>
                      <w:spacing w:before="0" w:beforeAutospacing="0" w:after="0" w:afterAutospacing="0"/>
                      <w:jc w:val="center"/>
                    </w:pPr>
                    <w:r>
                      <w:rPr>
                        <w:rFonts w:ascii="新宋体" w:eastAsia="新宋体" w:hAnsi="新宋体" w:hint="eastAsia"/>
                        <w:color w:val="C0C0C0"/>
                        <w:sz w:val="72"/>
                        <w:szCs w:val="72"/>
                        <w14:textFill>
                          <w14:solidFill>
                            <w14:srgbClr w14:val="C0C0C0">
                              <w14:alpha w14:val="62000"/>
                            </w14:srgbClr>
                          </w14:solidFill>
                        </w14:textFill>
                      </w:rPr>
                      <w:t>公示稿</w:t>
                    </w:r>
                  </w:p>
                </w:txbxContent>
              </v:textbox>
              <w10:wrap anchorx="margin" anchory="margin"/>
            </v:shape>
          </w:pict>
        </mc:Fallback>
      </mc:AlternateContent>
    </w:r>
    <w:r w:rsidR="00C76ECC">
      <w:rPr>
        <w:rFonts w:hint="eastAsia"/>
      </w:rPr>
      <w:t>2</w:t>
    </w:r>
    <w:r w:rsidR="00C76ECC">
      <w:t>024</w:t>
    </w:r>
    <w:r w:rsidR="00C76ECC">
      <w:rPr>
        <w:rFonts w:hint="eastAsia"/>
      </w:rPr>
      <w:t>年</w:t>
    </w:r>
    <w:r w:rsidR="00C76ECC">
      <w:rPr>
        <w:rFonts w:hint="eastAsia"/>
      </w:rPr>
      <w:t>2</w:t>
    </w:r>
    <w:r w:rsidR="00C76ECC">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9AEE" w14:textId="2AB6A375" w:rsidR="00C76ECC" w:rsidRDefault="00000000">
    <w:pPr>
      <w:pStyle w:val="a5"/>
    </w:pPr>
    <w:r>
      <w:rPr>
        <w:noProof/>
      </w:rPr>
      <w:pict w14:anchorId="69883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9774" o:spid="_x0000_s1025"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hmZTMwMmNjYTQxNWFmYTFkNGFjOTg3NWFiN2FjNTcifQ=="/>
  </w:docVars>
  <w:rsids>
    <w:rsidRoot w:val="3CB50D4E"/>
    <w:rsid w:val="00010B20"/>
    <w:rsid w:val="00027561"/>
    <w:rsid w:val="000B00E8"/>
    <w:rsid w:val="00160FA8"/>
    <w:rsid w:val="001A6120"/>
    <w:rsid w:val="001D6C7A"/>
    <w:rsid w:val="00200571"/>
    <w:rsid w:val="00231218"/>
    <w:rsid w:val="00271E5D"/>
    <w:rsid w:val="00357282"/>
    <w:rsid w:val="003D014B"/>
    <w:rsid w:val="003F55F9"/>
    <w:rsid w:val="00435A0E"/>
    <w:rsid w:val="004954EB"/>
    <w:rsid w:val="00530FDB"/>
    <w:rsid w:val="00656025"/>
    <w:rsid w:val="00705926"/>
    <w:rsid w:val="00722653"/>
    <w:rsid w:val="007825D6"/>
    <w:rsid w:val="007E3A81"/>
    <w:rsid w:val="0080248F"/>
    <w:rsid w:val="00891934"/>
    <w:rsid w:val="008E242D"/>
    <w:rsid w:val="009A057D"/>
    <w:rsid w:val="009F1FEC"/>
    <w:rsid w:val="00A50B7E"/>
    <w:rsid w:val="00A72082"/>
    <w:rsid w:val="00A77EF1"/>
    <w:rsid w:val="00AC0DDA"/>
    <w:rsid w:val="00B22192"/>
    <w:rsid w:val="00BA0C0B"/>
    <w:rsid w:val="00BD00DA"/>
    <w:rsid w:val="00C43371"/>
    <w:rsid w:val="00C76ECC"/>
    <w:rsid w:val="00C95605"/>
    <w:rsid w:val="00CF60B9"/>
    <w:rsid w:val="00D01D57"/>
    <w:rsid w:val="00D605E2"/>
    <w:rsid w:val="00D72CC2"/>
    <w:rsid w:val="00E05C87"/>
    <w:rsid w:val="00E343ED"/>
    <w:rsid w:val="00E40562"/>
    <w:rsid w:val="00E90D2A"/>
    <w:rsid w:val="00FC20AB"/>
    <w:rsid w:val="17D631C0"/>
    <w:rsid w:val="189270E7"/>
    <w:rsid w:val="2CA653DB"/>
    <w:rsid w:val="3CB50D4E"/>
    <w:rsid w:val="73EB6821"/>
    <w:rsid w:val="7D74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9BD750"/>
  <w15:docId w15:val="{26019BC7-E4D3-4313-A66D-A27D0A92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uiPriority w:val="99"/>
    <w:qFormat/>
    <w:pPr>
      <w:widowControl w:val="0"/>
      <w:jc w:val="both"/>
    </w:pPr>
    <w:rPr>
      <w:rFonts w:ascii="宋体" w:eastAsia="宋体" w:hAnsi="Courier New" w:cs="宋体"/>
    </w:rPr>
  </w:style>
  <w:style w:type="paragraph" w:styleId="a4">
    <w:name w:val="footer"/>
    <w:uiPriority w:val="99"/>
    <w:qFormat/>
    <w:pPr>
      <w:widowControl w:val="0"/>
      <w:tabs>
        <w:tab w:val="center" w:pos="4153"/>
        <w:tab w:val="right" w:pos="8306"/>
      </w:tabs>
      <w:snapToGrid w:val="0"/>
    </w:pPr>
    <w:rPr>
      <w:rFonts w:ascii="Calibri" w:eastAsia="宋体" w:hAnsi="Calibri" w:cs="Times New Roman"/>
      <w:kern w:val="2"/>
      <w:sz w:val="18"/>
      <w:szCs w:val="18"/>
    </w:rPr>
  </w:style>
  <w:style w:type="paragraph" w:styleId="a5">
    <w:name w:val="header"/>
    <w:qFormat/>
    <w:pPr>
      <w:widowControl w:val="0"/>
      <w:pBdr>
        <w:bottom w:val="single" w:sz="6" w:space="1" w:color="auto"/>
      </w:pBdr>
      <w:tabs>
        <w:tab w:val="center" w:pos="4153"/>
        <w:tab w:val="right" w:pos="8306"/>
      </w:tabs>
      <w:snapToGrid w:val="0"/>
      <w:jc w:val="center"/>
    </w:pPr>
    <w:rPr>
      <w:rFonts w:ascii="Calibri" w:eastAsia="宋体" w:hAnsi="Calibri" w:cs="Times New Roman"/>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line number"/>
    <w:basedOn w:val="a0"/>
  </w:style>
  <w:style w:type="paragraph" w:customStyle="1" w:styleId="A-">
    <w:name w:val="A-正文"/>
    <w:basedOn w:val="a"/>
    <w:qFormat/>
    <w:pPr>
      <w:snapToGrid w:val="0"/>
      <w:spacing w:afterLines="50" w:after="50"/>
    </w:pPr>
    <w:rPr>
      <w:snapToGrid w:val="0"/>
      <w:kern w:val="0"/>
      <w:sz w:val="24"/>
      <w:szCs w:val="22"/>
    </w:rPr>
  </w:style>
  <w:style w:type="paragraph" w:styleId="a8">
    <w:name w:val="Revision"/>
    <w:hidden/>
    <w:uiPriority w:val="99"/>
    <w:semiHidden/>
    <w:rsid w:val="00656025"/>
    <w:rPr>
      <w:rFonts w:ascii="Times New Roman" w:eastAsia="宋体" w:hAnsi="Times New Roman" w:cs="Times New Roman"/>
      <w:kern w:val="2"/>
      <w:sz w:val="21"/>
    </w:rPr>
  </w:style>
  <w:style w:type="paragraph" w:styleId="a9">
    <w:name w:val="Balloon Text"/>
    <w:basedOn w:val="a"/>
    <w:link w:val="aa"/>
    <w:semiHidden/>
    <w:unhideWhenUsed/>
    <w:rsid w:val="00271E5D"/>
    <w:rPr>
      <w:sz w:val="18"/>
      <w:szCs w:val="18"/>
    </w:rPr>
  </w:style>
  <w:style w:type="character" w:customStyle="1" w:styleId="aa">
    <w:name w:val="批注框文本 字符"/>
    <w:basedOn w:val="a0"/>
    <w:link w:val="a9"/>
    <w:semiHidden/>
    <w:rsid w:val="00271E5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曦</dc:creator>
  <cp:lastModifiedBy>用华 高</cp:lastModifiedBy>
  <cp:revision>2</cp:revision>
  <cp:lastPrinted>2024-01-29T10:28:00Z</cp:lastPrinted>
  <dcterms:created xsi:type="dcterms:W3CDTF">2024-01-30T08:55:00Z</dcterms:created>
  <dcterms:modified xsi:type="dcterms:W3CDTF">2024-01-30T08:55:00Z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ECF0ACB1FB1740CD966C9E4E2C5BEBA8</vt:lpwstr>
  </property>
  <property fmtid="{D5CDD505-2E9C-101B-9397-08002B2CF9AE}" pid="4" name="TitusGUID">
    <vt:lpwstr>74eb43af-39c6-4635-90cb-f273e772c14c</vt:lpwstr>
  </property>
  <property fmtid="{D5CDD505-2E9C-101B-9397-08002B2CF9AE}" pid="5" name="MSIP_Label_4b9664e8-5bac-43dd-9fd7-fd5d06fe239a_Enabled">
    <vt:lpwstr>true</vt:lpwstr>
  </property>
  <property fmtid="{D5CDD505-2E9C-101B-9397-08002B2CF9AE}" pid="6" name="MSIP_Label_4b9664e8-5bac-43dd-9fd7-fd5d06fe239a_SetDate">
    <vt:lpwstr>2023-05-23T02:55:32Z</vt:lpwstr>
  </property>
  <property fmtid="{D5CDD505-2E9C-101B-9397-08002B2CF9AE}" pid="7" name="MSIP_Label_4b9664e8-5bac-43dd-9fd7-fd5d06fe239a_Method">
    <vt:lpwstr>Privileged</vt:lpwstr>
  </property>
  <property fmtid="{D5CDD505-2E9C-101B-9397-08002B2CF9AE}" pid="8" name="MSIP_Label_4b9664e8-5bac-43dd-9fd7-fd5d06fe239a_Name">
    <vt:lpwstr>Non-Corning</vt:lpwstr>
  </property>
  <property fmtid="{D5CDD505-2E9C-101B-9397-08002B2CF9AE}" pid="9" name="MSIP_Label_4b9664e8-5bac-43dd-9fd7-fd5d06fe239a_SiteId">
    <vt:lpwstr>b36a1e05-4a62-442b-83cf-dbdd6d7810e4</vt:lpwstr>
  </property>
  <property fmtid="{D5CDD505-2E9C-101B-9397-08002B2CF9AE}" pid="10" name="MSIP_Label_4b9664e8-5bac-43dd-9fd7-fd5d06fe239a_ActionId">
    <vt:lpwstr>2de1d23d-fe85-4b0d-9c54-c0be8087a609</vt:lpwstr>
  </property>
  <property fmtid="{D5CDD505-2E9C-101B-9397-08002B2CF9AE}" pid="11" name="MSIP_Label_4b9664e8-5bac-43dd-9fd7-fd5d06fe239a_ContentBits">
    <vt:lpwstr>0</vt:lpwstr>
  </property>
  <property fmtid="{D5CDD505-2E9C-101B-9397-08002B2CF9AE}" pid="12" name="CorningFullClassification">
    <vt:lpwstr>TitusReset-MIP</vt:lpwstr>
  </property>
  <property fmtid="{D5CDD505-2E9C-101B-9397-08002B2CF9AE}" pid="13" name="_AdHocReviewCycleID">
    <vt:i4>-2034860635</vt:i4>
  </property>
  <property fmtid="{D5CDD505-2E9C-101B-9397-08002B2CF9AE}" pid="14" name="_NewReviewCycle">
    <vt:lpwstr/>
  </property>
  <property fmtid="{D5CDD505-2E9C-101B-9397-08002B2CF9AE}" pid="15" name="_EmailSubject">
    <vt:lpwstr>【中国药典2025通则译文-修订】5100~5106章节</vt:lpwstr>
  </property>
  <property fmtid="{D5CDD505-2E9C-101B-9397-08002B2CF9AE}" pid="16" name="_AuthorEmail">
    <vt:lpwstr>LiY144@corning.com</vt:lpwstr>
  </property>
  <property fmtid="{D5CDD505-2E9C-101B-9397-08002B2CF9AE}" pid="17" name="_AuthorEmailDisplayName">
    <vt:lpwstr>Li, Yuntao (Hiro)</vt:lpwstr>
  </property>
  <property fmtid="{D5CDD505-2E9C-101B-9397-08002B2CF9AE}" pid="18" name="_PreviousAdHocReviewCycleID">
    <vt:i4>-2034860635</vt:i4>
  </property>
  <property fmtid="{D5CDD505-2E9C-101B-9397-08002B2CF9AE}" pid="19" name="_ReviewingToolsShownOnce">
    <vt:lpwstr/>
  </property>
</Properties>
</file>