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95C54" w14:textId="518D6949" w:rsidR="00ED0BFD" w:rsidRPr="006C4B63" w:rsidRDefault="00A90BF8" w:rsidP="00376E93">
      <w:pPr>
        <w:pStyle w:val="A-"/>
        <w:spacing w:beforeLines="50" w:before="120" w:after="120"/>
        <w:jc w:val="center"/>
        <w:rPr>
          <w:b/>
          <w:szCs w:val="24"/>
        </w:rPr>
      </w:pPr>
      <w:r w:rsidRPr="006C4B63">
        <w:rPr>
          <w:b/>
        </w:rPr>
        <w:t>4024 Determination of Capacity for Glass Containers</w:t>
      </w:r>
    </w:p>
    <w:p w14:paraId="44A7D011" w14:textId="1FA63F07" w:rsidR="00ED0BFD" w:rsidRPr="006C4B63" w:rsidRDefault="00A90BF8" w:rsidP="009D4947">
      <w:pPr>
        <w:pStyle w:val="A-"/>
        <w:spacing w:after="120"/>
        <w:ind w:firstLineChars="200" w:firstLine="480"/>
        <w:rPr>
          <w:szCs w:val="24"/>
        </w:rPr>
      </w:pPr>
      <w:r w:rsidRPr="006C4B63">
        <w:t xml:space="preserve">The capacity of glass containers </w:t>
      </w:r>
      <w:r w:rsidR="00BC148E" w:rsidRPr="006C4B63">
        <w:t xml:space="preserve">includes </w:t>
      </w:r>
      <w:r w:rsidRPr="006C4B63">
        <w:t>standard capacity and overflow capacity. Standard capacity refers to the volume of water in the container when the liquid level of the filling water is flush with the scale, also known as the nominal capacity; overflow capacity refers to the volume of water in the container when the liquid level of the filling water is flush with the top of the bottle mouth.</w:t>
      </w:r>
    </w:p>
    <w:p w14:paraId="74E5F5F0" w14:textId="3994F75B" w:rsidR="00ED0BFD" w:rsidRPr="006C4B63" w:rsidRDefault="00A90BF8" w:rsidP="009D4947">
      <w:pPr>
        <w:pStyle w:val="A-"/>
        <w:spacing w:after="120"/>
        <w:ind w:firstLineChars="200" w:firstLine="480"/>
        <w:rPr>
          <w:szCs w:val="24"/>
        </w:rPr>
      </w:pPr>
      <w:r w:rsidRPr="006C4B63">
        <w:t xml:space="preserve">Test environment: Both the sample and water </w:t>
      </w:r>
      <w:r w:rsidR="00857083" w:rsidRPr="006C4B63">
        <w:rPr>
          <w:rFonts w:hint="eastAsia"/>
        </w:rPr>
        <w:t>shall</w:t>
      </w:r>
      <w:r w:rsidRPr="006C4B63">
        <w:t xml:space="preserve"> be placed </w:t>
      </w:r>
      <w:r w:rsidRPr="006C4B63">
        <w:rPr>
          <w:strike/>
        </w:rPr>
        <w:t>under</w:t>
      </w:r>
      <w:r w:rsidRPr="006C4B63">
        <w:t xml:space="preserve"> </w:t>
      </w:r>
      <w:r w:rsidR="00A7120A" w:rsidRPr="006C4B63">
        <w:rPr>
          <w:rFonts w:hint="eastAsia"/>
        </w:rPr>
        <w:t>at</w:t>
      </w:r>
      <w:r w:rsidR="00A7120A" w:rsidRPr="006C4B63">
        <w:t xml:space="preserve"> </w:t>
      </w:r>
      <w:r w:rsidR="00533F30">
        <w:t>room temperature (22</w:t>
      </w:r>
      <w:r w:rsidR="00220676" w:rsidRPr="006C4B63">
        <w:t>℃</w:t>
      </w:r>
      <w:r w:rsidRPr="006C4B63">
        <w:t>±</w:t>
      </w:r>
      <w:r w:rsidR="00533F30">
        <w:t>5</w:t>
      </w:r>
      <w:r w:rsidR="00220676" w:rsidRPr="006C4B63">
        <w:t>℃</w:t>
      </w:r>
      <w:r w:rsidRPr="006C4B63">
        <w:t>) for more than 30 minutes.</w:t>
      </w:r>
    </w:p>
    <w:p w14:paraId="3518E941" w14:textId="77777777" w:rsidR="00ED0BFD" w:rsidRPr="006C4B63" w:rsidRDefault="00A90BF8" w:rsidP="009D4947">
      <w:pPr>
        <w:pStyle w:val="A-"/>
        <w:spacing w:after="120"/>
        <w:ind w:firstLineChars="200" w:firstLine="482"/>
        <w:rPr>
          <w:b/>
          <w:szCs w:val="24"/>
        </w:rPr>
      </w:pPr>
      <w:r w:rsidRPr="006C4B63">
        <w:rPr>
          <w:b/>
        </w:rPr>
        <w:t>Method I. Indirect method</w:t>
      </w:r>
    </w:p>
    <w:p w14:paraId="17B94034" w14:textId="77777777" w:rsidR="00ED0BFD" w:rsidRPr="006C4B63" w:rsidRDefault="00A90BF8" w:rsidP="009D4947">
      <w:pPr>
        <w:pStyle w:val="A-"/>
        <w:spacing w:after="120"/>
        <w:ind w:firstLineChars="200" w:firstLine="480"/>
        <w:rPr>
          <w:szCs w:val="24"/>
        </w:rPr>
      </w:pPr>
      <w:r w:rsidRPr="006C4B63">
        <w:t>This method is used to determine the capacity of glass containers. By measuring the weight difference between glass containers before and after filling, the capacity of glass containers can be calculated.</w:t>
      </w:r>
    </w:p>
    <w:p w14:paraId="38E0B959" w14:textId="1E28964E" w:rsidR="00ED0BFD" w:rsidRPr="006C4B63" w:rsidRDefault="003E2BD5" w:rsidP="009D4947">
      <w:pPr>
        <w:pStyle w:val="A-"/>
        <w:spacing w:after="120"/>
        <w:ind w:firstLineChars="200" w:firstLine="482"/>
        <w:rPr>
          <w:szCs w:val="24"/>
        </w:rPr>
      </w:pPr>
      <w:r w:rsidRPr="006C4B63">
        <w:rPr>
          <w:b/>
        </w:rPr>
        <w:t>Instruments</w:t>
      </w:r>
      <w:r w:rsidR="009D4947">
        <w:rPr>
          <w:rFonts w:hint="eastAsia"/>
          <w:b/>
        </w:rPr>
        <w:t>:</w:t>
      </w:r>
      <w:r w:rsidR="00713E12" w:rsidRPr="006C4B63">
        <w:t xml:space="preserve"> </w:t>
      </w:r>
      <w:r w:rsidR="00BC148E" w:rsidRPr="006C4B63">
        <w:t>Analytical balance</w:t>
      </w:r>
      <w:r w:rsidR="00A90BF8" w:rsidRPr="006C4B63">
        <w:t xml:space="preserve"> with a sensitivity of 0.1 g</w:t>
      </w:r>
      <w:r w:rsidR="009D4947">
        <w:rPr>
          <w:rFonts w:hint="eastAsia"/>
        </w:rPr>
        <w:t xml:space="preserve">. </w:t>
      </w:r>
      <w:r w:rsidR="00A90BF8" w:rsidRPr="006C4B63">
        <w:t>(</w:t>
      </w:r>
      <w:r w:rsidR="00B21E9D" w:rsidRPr="006C4B63">
        <w:rPr>
          <w:rFonts w:hint="eastAsia"/>
        </w:rPr>
        <w:t>W</w:t>
      </w:r>
      <w:r w:rsidR="00A90BF8" w:rsidRPr="006C4B63">
        <w:t>hen the weight is greater than 10 g</w:t>
      </w:r>
      <w:r w:rsidR="009D4947">
        <w:rPr>
          <w:rFonts w:hint="eastAsia"/>
        </w:rPr>
        <w:t>, t</w:t>
      </w:r>
      <w:r w:rsidR="00A90BF8" w:rsidRPr="006C4B63">
        <w:t xml:space="preserve">he sensitivity </w:t>
      </w:r>
      <w:r w:rsidR="0073500A" w:rsidRPr="006C4B63">
        <w:rPr>
          <w:rFonts w:hint="eastAsia"/>
        </w:rPr>
        <w:t>should</w:t>
      </w:r>
      <w:r w:rsidR="0073500A" w:rsidRPr="006C4B63">
        <w:t xml:space="preserve"> </w:t>
      </w:r>
      <w:r w:rsidR="0073500A" w:rsidRPr="006C4B63">
        <w:rPr>
          <w:rFonts w:hint="eastAsia"/>
        </w:rPr>
        <w:t>not</w:t>
      </w:r>
      <w:r w:rsidR="00A90BF8" w:rsidRPr="006C4B63">
        <w:t xml:space="preserve"> be </w:t>
      </w:r>
      <w:r w:rsidR="009D4947">
        <w:rPr>
          <w:rFonts w:hint="eastAsia"/>
        </w:rPr>
        <w:t>more</w:t>
      </w:r>
      <w:r w:rsidR="00A90BF8" w:rsidRPr="006C4B63">
        <w:t xml:space="preserve"> </w:t>
      </w:r>
      <w:r w:rsidR="0073500A" w:rsidRPr="006C4B63">
        <w:t xml:space="preserve">than </w:t>
      </w:r>
      <w:r w:rsidR="00A90BF8" w:rsidRPr="006C4B63">
        <w:t>0.25 g</w:t>
      </w:r>
      <w:r w:rsidR="00BC148E" w:rsidRPr="006C4B63">
        <w:rPr>
          <w:rFonts w:hint="eastAsia"/>
        </w:rPr>
        <w:t>.</w:t>
      </w:r>
      <w:bookmarkStart w:id="0" w:name="_GoBack"/>
      <w:bookmarkEnd w:id="0"/>
      <w:r w:rsidR="00A90BF8" w:rsidRPr="006C4B63">
        <w:t xml:space="preserve"> When the weight is greater than 250 g, the sensitivity </w:t>
      </w:r>
      <w:r w:rsidR="0073500A" w:rsidRPr="006C4B63">
        <w:t>should not be</w:t>
      </w:r>
      <w:r w:rsidR="00A90BF8" w:rsidRPr="006C4B63">
        <w:t xml:space="preserve"> </w:t>
      </w:r>
      <w:r w:rsidR="009D4947">
        <w:rPr>
          <w:rFonts w:hint="eastAsia"/>
        </w:rPr>
        <w:t>more</w:t>
      </w:r>
      <w:r w:rsidR="00A90BF8" w:rsidRPr="006C4B63">
        <w:t xml:space="preserve"> than 0.5 g</w:t>
      </w:r>
      <w:r w:rsidR="00BC148E" w:rsidRPr="006C4B63">
        <w:rPr>
          <w:rFonts w:hint="eastAsia"/>
        </w:rPr>
        <w:t xml:space="preserve">. </w:t>
      </w:r>
      <w:r w:rsidR="00A90BF8" w:rsidRPr="006C4B63">
        <w:t xml:space="preserve">When the weight is greater than 1000 g, the sensitivity </w:t>
      </w:r>
      <w:r w:rsidR="0073500A" w:rsidRPr="006C4B63">
        <w:t>should not be</w:t>
      </w:r>
      <w:r w:rsidR="00A90BF8" w:rsidRPr="006C4B63">
        <w:t xml:space="preserve"> greater than 0.125% of the weight).</w:t>
      </w:r>
    </w:p>
    <w:p w14:paraId="346F990D" w14:textId="77777777" w:rsidR="00600262" w:rsidRDefault="00A90BF8" w:rsidP="00600262">
      <w:pPr>
        <w:pStyle w:val="A-"/>
        <w:spacing w:after="120"/>
        <w:ind w:firstLineChars="200" w:firstLine="482"/>
        <w:rPr>
          <w:szCs w:val="24"/>
        </w:rPr>
      </w:pPr>
      <w:r w:rsidRPr="006C4B63">
        <w:rPr>
          <w:b/>
        </w:rPr>
        <w:t>Determination</w:t>
      </w:r>
      <w:r w:rsidR="00713E12" w:rsidRPr="006C4B63">
        <w:rPr>
          <w:b/>
        </w:rPr>
        <w:t xml:space="preserve"> </w:t>
      </w:r>
      <w:r w:rsidRPr="006C4B63">
        <w:t xml:space="preserve">Take the </w:t>
      </w:r>
      <w:r w:rsidR="0073500A" w:rsidRPr="006C4B63">
        <w:t xml:space="preserve">clean and dry </w:t>
      </w:r>
      <w:r w:rsidRPr="006C4B63">
        <w:t>sample</w:t>
      </w:r>
      <w:r w:rsidR="00BC148E" w:rsidRPr="006C4B63">
        <w:rPr>
          <w:rFonts w:hint="eastAsia"/>
        </w:rPr>
        <w:t>.</w:t>
      </w:r>
      <w:r w:rsidRPr="006C4B63">
        <w:t xml:space="preserve"> </w:t>
      </w:r>
      <w:r w:rsidR="00BC148E" w:rsidRPr="006C4B63">
        <w:rPr>
          <w:rFonts w:hint="eastAsia"/>
        </w:rPr>
        <w:t>W</w:t>
      </w:r>
      <w:r w:rsidRPr="006C4B63">
        <w:t>eigh the sample on the balance</w:t>
      </w:r>
      <w:r w:rsidR="00BC148E" w:rsidRPr="006C4B63">
        <w:rPr>
          <w:rFonts w:hint="eastAsia"/>
        </w:rPr>
        <w:t>.</w:t>
      </w:r>
      <w:r w:rsidRPr="006C4B63">
        <w:t xml:space="preserve"> </w:t>
      </w:r>
      <w:r w:rsidR="00AF7B27" w:rsidRPr="006C4B63">
        <w:rPr>
          <w:rFonts w:hint="eastAsia"/>
        </w:rPr>
        <w:t>R</w:t>
      </w:r>
      <w:r w:rsidRPr="006C4B63">
        <w:t xml:space="preserve">ecord the weight </w:t>
      </w:r>
      <w:r w:rsidRPr="006C4B63">
        <w:rPr>
          <w:i/>
        </w:rPr>
        <w:t>m</w:t>
      </w:r>
      <w:r w:rsidRPr="006C4B63">
        <w:rPr>
          <w:i/>
          <w:vertAlign w:val="subscript"/>
        </w:rPr>
        <w:t>1</w:t>
      </w:r>
      <w:r w:rsidR="00BC148E" w:rsidRPr="006C4B63">
        <w:t xml:space="preserve"> (g)</w:t>
      </w:r>
      <w:r w:rsidRPr="006C4B63">
        <w:t xml:space="preserve"> and then put the test sample on </w:t>
      </w:r>
      <w:r w:rsidR="0073500A" w:rsidRPr="006C4B63">
        <w:t xml:space="preserve">a </w:t>
      </w:r>
      <w:r w:rsidRPr="006C4B63">
        <w:t>horizontal workbench</w:t>
      </w:r>
      <w:r w:rsidR="00BC148E" w:rsidRPr="006C4B63">
        <w:rPr>
          <w:rFonts w:hint="eastAsia"/>
        </w:rPr>
        <w:t>.</w:t>
      </w:r>
      <w:r w:rsidRPr="006C4B63">
        <w:t xml:space="preserve"> </w:t>
      </w:r>
      <w:r w:rsidR="00BC148E" w:rsidRPr="006C4B63">
        <w:rPr>
          <w:rFonts w:hint="eastAsia"/>
        </w:rPr>
        <w:t>A</w:t>
      </w:r>
      <w:r w:rsidRPr="006C4B63">
        <w:t xml:space="preserve">dd water to the scale (when determining the standard capacity, add water until the </w:t>
      </w:r>
      <w:r w:rsidR="009D4947" w:rsidRPr="009D4947">
        <w:t>concave meniscus</w:t>
      </w:r>
      <w:r w:rsidRPr="006C4B63">
        <w:t xml:space="preserve"> is flush with the line</w:t>
      </w:r>
      <w:r w:rsidR="009D4947">
        <w:rPr>
          <w:rFonts w:hint="eastAsia"/>
        </w:rPr>
        <w:t>.</w:t>
      </w:r>
      <w:r w:rsidRPr="006C4B63">
        <w:t xml:space="preserve"> When determining the overflow capacity, add water until the </w:t>
      </w:r>
      <w:r w:rsidR="009D4947" w:rsidRPr="009D4947">
        <w:t>concave meniscus</w:t>
      </w:r>
      <w:r w:rsidRPr="006C4B63">
        <w:t xml:space="preserve"> is flush with the bottle mouth of the sample)</w:t>
      </w:r>
      <w:r w:rsidR="009D4947">
        <w:rPr>
          <w:rFonts w:hint="eastAsia"/>
        </w:rPr>
        <w:t>.</w:t>
      </w:r>
      <w:r w:rsidRPr="006C4B63">
        <w:t xml:space="preserve"> </w:t>
      </w:r>
      <w:r w:rsidR="009D4947">
        <w:rPr>
          <w:rFonts w:hint="eastAsia"/>
        </w:rPr>
        <w:t>P</w:t>
      </w:r>
      <w:r w:rsidRPr="006C4B63">
        <w:t xml:space="preserve">ay attention to keep the outer wall of the sample dry. Then put the above sample filled with water on the balance to weigh, record the weight </w:t>
      </w:r>
      <w:r w:rsidRPr="006C4B63">
        <w:rPr>
          <w:i/>
          <w:iCs/>
        </w:rPr>
        <w:t>m</w:t>
      </w:r>
      <w:r w:rsidRPr="006C4B63">
        <w:rPr>
          <w:i/>
          <w:iCs/>
          <w:vertAlign w:val="subscript"/>
        </w:rPr>
        <w:t>2</w:t>
      </w:r>
      <w:r w:rsidRPr="006C4B63">
        <w:t xml:space="preserve"> (g).</w:t>
      </w:r>
    </w:p>
    <w:p w14:paraId="6C89B400" w14:textId="384F47B6" w:rsidR="00ED0BFD" w:rsidRPr="006C4B63" w:rsidRDefault="00212AF6" w:rsidP="00600262">
      <w:pPr>
        <w:pStyle w:val="A-"/>
        <w:spacing w:after="120"/>
        <w:ind w:firstLineChars="200" w:firstLine="482"/>
        <w:rPr>
          <w:szCs w:val="24"/>
        </w:rPr>
      </w:pPr>
      <w:r w:rsidRPr="006C4B63">
        <w:rPr>
          <w:rFonts w:hint="eastAsia"/>
          <w:b/>
        </w:rPr>
        <w:t>R</w:t>
      </w:r>
      <w:r w:rsidRPr="006C4B63">
        <w:rPr>
          <w:b/>
        </w:rPr>
        <w:t xml:space="preserve">esult </w:t>
      </w:r>
      <w:r w:rsidRPr="006C4B63">
        <w:rPr>
          <w:rFonts w:hint="eastAsia"/>
          <w:b/>
        </w:rPr>
        <w:t>C</w:t>
      </w:r>
      <w:r w:rsidRPr="006C4B63">
        <w:rPr>
          <w:b/>
        </w:rPr>
        <w:t>alculation</w:t>
      </w:r>
      <w:r w:rsidR="00713E12" w:rsidRPr="006C4B63">
        <w:t xml:space="preserve"> </w:t>
      </w:r>
      <w:r w:rsidR="00A90BF8" w:rsidRPr="006C4B63">
        <w:t xml:space="preserve">The capacity of the sample (standard capacity or overflow capacity), </w:t>
      </w:r>
      <w:r w:rsidR="00A90BF8" w:rsidRPr="006C4B63">
        <w:rPr>
          <w:i/>
          <w:iCs/>
        </w:rPr>
        <w:t>V</w:t>
      </w:r>
      <w:r w:rsidR="00A90BF8" w:rsidRPr="006C4B63">
        <w:t>, is calculated as follows.</w:t>
      </w:r>
    </w:p>
    <w:p w14:paraId="79CB65D9" w14:textId="423275BF" w:rsidR="00ED0BFD" w:rsidRPr="006C4B63" w:rsidRDefault="00CA36B4" w:rsidP="009D4947">
      <w:pPr>
        <w:pStyle w:val="A-"/>
        <w:spacing w:after="120"/>
        <w:ind w:firstLineChars="200" w:firstLine="480"/>
        <w:rPr>
          <w:szCs w:val="24"/>
        </w:rPr>
      </w:pPr>
      <w:r w:rsidRPr="006C4B63">
        <w:rPr>
          <w:i/>
        </w:rPr>
        <w:t>V</w:t>
      </w:r>
      <w:r w:rsidRPr="006C4B63">
        <w:t>=(</w:t>
      </w:r>
      <w:r w:rsidRPr="006C4B63">
        <w:rPr>
          <w:i/>
        </w:rPr>
        <w:t>m</w:t>
      </w:r>
      <w:r w:rsidRPr="006C4B63">
        <w:rPr>
          <w:i/>
          <w:vertAlign w:val="subscript"/>
        </w:rPr>
        <w:t>2</w:t>
      </w:r>
      <w:r w:rsidRPr="006C4B63">
        <w:t>-</w:t>
      </w:r>
      <w:r w:rsidRPr="006C4B63">
        <w:rPr>
          <w:i/>
        </w:rPr>
        <w:t>m</w:t>
      </w:r>
      <w:r w:rsidRPr="006C4B63">
        <w:rPr>
          <w:i/>
          <w:vertAlign w:val="subscript"/>
        </w:rPr>
        <w:t>1</w:t>
      </w:r>
      <w:r w:rsidRPr="006C4B63">
        <w:t>)/</w:t>
      </w:r>
      <w:r w:rsidR="00901DB1" w:rsidRPr="006C4B63">
        <w:rPr>
          <w:rFonts w:hint="eastAsia"/>
          <w:i/>
        </w:rPr>
        <w:t>ρ</w:t>
      </w:r>
    </w:p>
    <w:p w14:paraId="0B0F2DCC" w14:textId="33C19C5E" w:rsidR="00ED0BFD" w:rsidRPr="006C4B63" w:rsidRDefault="00A90BF8" w:rsidP="009D4947">
      <w:pPr>
        <w:pStyle w:val="A-"/>
        <w:spacing w:after="120"/>
        <w:ind w:firstLineChars="200" w:firstLine="480"/>
        <w:rPr>
          <w:szCs w:val="24"/>
        </w:rPr>
      </w:pPr>
      <w:r w:rsidRPr="006C4B63">
        <w:t xml:space="preserve">Where, </w:t>
      </w:r>
      <w:r w:rsidRPr="006C4B63">
        <w:rPr>
          <w:i/>
          <w:iCs/>
        </w:rPr>
        <w:t>V</w:t>
      </w:r>
      <w:r w:rsidRPr="006C4B63">
        <w:t xml:space="preserve"> is standard capacity or overflow capacity, in ml;</w:t>
      </w:r>
    </w:p>
    <w:p w14:paraId="605C973E" w14:textId="0061C7AD" w:rsidR="00ED0BFD" w:rsidRPr="006C4B63" w:rsidRDefault="00A90BF8" w:rsidP="00BE7A89">
      <w:pPr>
        <w:pStyle w:val="A-"/>
        <w:spacing w:after="120"/>
        <w:ind w:leftChars="340" w:left="714"/>
        <w:rPr>
          <w:szCs w:val="24"/>
        </w:rPr>
      </w:pPr>
      <w:r w:rsidRPr="006C4B63">
        <w:rPr>
          <w:i/>
          <w:iCs/>
        </w:rPr>
        <w:t>m</w:t>
      </w:r>
      <w:r w:rsidRPr="006C4B63">
        <w:rPr>
          <w:i/>
          <w:iCs/>
          <w:vertAlign w:val="subscript"/>
        </w:rPr>
        <w:t>1</w:t>
      </w:r>
      <w:r w:rsidRPr="006C4B63">
        <w:t xml:space="preserve"> is the weight of the</w:t>
      </w:r>
      <w:r w:rsidR="00A7120A" w:rsidRPr="006C4B63">
        <w:t xml:space="preserve"> </w:t>
      </w:r>
      <w:r w:rsidRPr="006C4B63">
        <w:t>sample, in g;</w:t>
      </w:r>
    </w:p>
    <w:p w14:paraId="5B22FED6" w14:textId="384179E7" w:rsidR="00ED0BFD" w:rsidRPr="006C4B63" w:rsidRDefault="00A90BF8" w:rsidP="00BE7A89">
      <w:pPr>
        <w:pStyle w:val="A-"/>
        <w:spacing w:after="120"/>
        <w:ind w:leftChars="340" w:left="714"/>
        <w:rPr>
          <w:szCs w:val="24"/>
        </w:rPr>
      </w:pPr>
      <w:r w:rsidRPr="006C4B63">
        <w:rPr>
          <w:i/>
          <w:iCs/>
        </w:rPr>
        <w:t>m</w:t>
      </w:r>
      <w:r w:rsidRPr="006C4B63">
        <w:rPr>
          <w:i/>
          <w:iCs/>
          <w:vertAlign w:val="subscript"/>
        </w:rPr>
        <w:t>2</w:t>
      </w:r>
      <w:r w:rsidRPr="006C4B63">
        <w:t xml:space="preserve"> is </w:t>
      </w:r>
      <w:r w:rsidR="00A7120A" w:rsidRPr="006C4B63">
        <w:t xml:space="preserve">the </w:t>
      </w:r>
      <w:r w:rsidRPr="006C4B63">
        <w:t xml:space="preserve">weight of </w:t>
      </w:r>
      <w:r w:rsidR="00A7120A" w:rsidRPr="006C4B63">
        <w:t xml:space="preserve">the </w:t>
      </w:r>
      <w:r w:rsidRPr="006C4B63">
        <w:t>sample with water, in g;</w:t>
      </w:r>
    </w:p>
    <w:p w14:paraId="33A52C57" w14:textId="77777777" w:rsidR="00600262" w:rsidRDefault="00901DB1" w:rsidP="00600262">
      <w:pPr>
        <w:pStyle w:val="A-"/>
        <w:spacing w:after="120"/>
        <w:ind w:leftChars="340" w:left="714"/>
        <w:rPr>
          <w:szCs w:val="24"/>
        </w:rPr>
      </w:pPr>
      <w:r w:rsidRPr="006C4B63">
        <w:rPr>
          <w:rFonts w:hint="eastAsia"/>
          <w:i/>
          <w:iCs/>
        </w:rPr>
        <w:t>ρ</w:t>
      </w:r>
      <w:r w:rsidR="00CA36B4" w:rsidRPr="006C4B63">
        <w:t xml:space="preserve"> is the density of water (1 g/ml </w:t>
      </w:r>
      <w:r w:rsidR="007C59DA" w:rsidRPr="006C4B63">
        <w:rPr>
          <w:strike/>
        </w:rPr>
        <w:t>under</w:t>
      </w:r>
      <w:r w:rsidR="007C59DA" w:rsidRPr="006C4B63">
        <w:t xml:space="preserve"> </w:t>
      </w:r>
      <w:r w:rsidR="007C59DA" w:rsidRPr="006C4B63">
        <w:rPr>
          <w:rFonts w:hint="eastAsia"/>
        </w:rPr>
        <w:t>at</w:t>
      </w:r>
      <w:r w:rsidR="00CA36B4" w:rsidRPr="006C4B63">
        <w:t xml:space="preserve"> room temperature).</w:t>
      </w:r>
    </w:p>
    <w:p w14:paraId="0E4CD0A9" w14:textId="62A2C9CA" w:rsidR="00ED0BFD" w:rsidRPr="00600262" w:rsidRDefault="00A90BF8" w:rsidP="00DD1810">
      <w:pPr>
        <w:pStyle w:val="A-"/>
        <w:spacing w:after="120"/>
        <w:ind w:firstLineChars="200" w:firstLine="482"/>
        <w:rPr>
          <w:szCs w:val="24"/>
        </w:rPr>
      </w:pPr>
      <w:r w:rsidRPr="006C4B63">
        <w:rPr>
          <w:b/>
        </w:rPr>
        <w:t>Method II.</w:t>
      </w:r>
      <w:r w:rsidR="00713E12" w:rsidRPr="006C4B63">
        <w:rPr>
          <w:b/>
        </w:rPr>
        <w:t xml:space="preserve"> </w:t>
      </w:r>
      <w:r w:rsidRPr="006C4B63">
        <w:rPr>
          <w:b/>
        </w:rPr>
        <w:t>Direct method</w:t>
      </w:r>
    </w:p>
    <w:p w14:paraId="33EDAF00" w14:textId="233632D9" w:rsidR="00ED0BFD" w:rsidRPr="006C4B63" w:rsidRDefault="00A90BF8" w:rsidP="00DD1810">
      <w:pPr>
        <w:pStyle w:val="A-"/>
        <w:spacing w:after="120"/>
        <w:ind w:firstLineChars="200" w:firstLine="482"/>
      </w:pPr>
      <w:r w:rsidRPr="006C4B63">
        <w:rPr>
          <w:b/>
          <w:bCs/>
        </w:rPr>
        <w:t>Determination</w:t>
      </w:r>
      <w:r w:rsidR="009D4947">
        <w:rPr>
          <w:rFonts w:hint="eastAsia"/>
          <w:b/>
          <w:bCs/>
        </w:rPr>
        <w:t>:</w:t>
      </w:r>
      <w:r w:rsidR="00713E12" w:rsidRPr="006C4B63">
        <w:rPr>
          <w:b/>
        </w:rPr>
        <w:t xml:space="preserve"> </w:t>
      </w:r>
      <w:r w:rsidRPr="006C4B63">
        <w:t xml:space="preserve">Take the </w:t>
      </w:r>
      <w:r w:rsidR="00857083" w:rsidRPr="006C4B63">
        <w:t>clean and dry</w:t>
      </w:r>
      <w:r w:rsidRPr="006C4B63">
        <w:t xml:space="preserve"> sample</w:t>
      </w:r>
      <w:r w:rsidR="00857083" w:rsidRPr="006C4B63">
        <w:t xml:space="preserve"> </w:t>
      </w:r>
      <w:r w:rsidR="00857083" w:rsidRPr="006C4B63">
        <w:rPr>
          <w:rFonts w:hint="eastAsia"/>
        </w:rPr>
        <w:t>and</w:t>
      </w:r>
      <w:r w:rsidR="00857083" w:rsidRPr="006C4B63">
        <w:t xml:space="preserve"> </w:t>
      </w:r>
      <w:r w:rsidRPr="006C4B63">
        <w:t>add water to the scale (when determining the standard capacity, add water until the liquid level is flush with the line</w:t>
      </w:r>
      <w:r w:rsidR="00F93827" w:rsidRPr="006C4B63">
        <w:rPr>
          <w:rFonts w:hint="eastAsia"/>
        </w:rPr>
        <w:t>.</w:t>
      </w:r>
      <w:r w:rsidRPr="006C4B63">
        <w:t xml:space="preserve"> When determining the overflow capacity, add water until the liquid level is flush with the bottle mouth of the sample</w:t>
      </w:r>
      <w:r w:rsidR="00F93827" w:rsidRPr="006C4B63">
        <w:rPr>
          <w:rFonts w:hint="eastAsia"/>
        </w:rPr>
        <w:t>.</w:t>
      </w:r>
      <w:r w:rsidRPr="006C4B63">
        <w:t xml:space="preserve">), transfer the water to </w:t>
      </w:r>
      <w:r w:rsidR="00177C57" w:rsidRPr="006C4B63">
        <w:t xml:space="preserve">a </w:t>
      </w:r>
      <w:r w:rsidRPr="006C4B63">
        <w:t>pre-standardized dry measuring cylinder (the measuring tool shall be sized such that the volume to be measured accounts for at least 40% of its rated volume), and drain as much as possible. Read out the volume of water in each sample, that is, the standard capacity or overflow capacity of each sample.</w:t>
      </w:r>
    </w:p>
    <w:p w14:paraId="2A0F11C1" w14:textId="77777777" w:rsidR="00947929" w:rsidRPr="006C4B63" w:rsidRDefault="00947929" w:rsidP="00713E12">
      <w:pPr>
        <w:pStyle w:val="A-"/>
        <w:pBdr>
          <w:bottom w:val="single" w:sz="4" w:space="1" w:color="auto"/>
        </w:pBdr>
        <w:spacing w:after="120"/>
        <w:rPr>
          <w:szCs w:val="24"/>
        </w:rPr>
        <w:sectPr w:rsidR="00947929" w:rsidRPr="006C4B63" w:rsidSect="002B1D21">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567" w:footer="567" w:gutter="0"/>
          <w:lnNumType w:countBy="1" w:restart="continuous"/>
          <w:cols w:space="720"/>
          <w:docGrid w:linePitch="286"/>
        </w:sectPr>
      </w:pPr>
    </w:p>
    <w:p w14:paraId="405F510A" w14:textId="2CADFEA7" w:rsidR="00ED0BFD" w:rsidRPr="006C4B63" w:rsidRDefault="00ED0BFD" w:rsidP="00713E12">
      <w:pPr>
        <w:pStyle w:val="A-"/>
        <w:pBdr>
          <w:bottom w:val="single" w:sz="4" w:space="1" w:color="auto"/>
        </w:pBdr>
        <w:spacing w:after="120"/>
        <w:rPr>
          <w:szCs w:val="24"/>
        </w:rPr>
      </w:pPr>
    </w:p>
    <w:p w14:paraId="23B4D5C2" w14:textId="7A6A12A4" w:rsidR="00ED0BFD" w:rsidRPr="006C4B63" w:rsidRDefault="00A90BF8" w:rsidP="002B1D21">
      <w:pPr>
        <w:pStyle w:val="A-"/>
        <w:spacing w:after="120"/>
        <w:rPr>
          <w:szCs w:val="24"/>
        </w:rPr>
      </w:pPr>
      <w:r w:rsidRPr="006C4B63">
        <w:t>Drafted by: National Institutes for Food and Drug Control</w:t>
      </w:r>
      <w:r w:rsidR="00713E12" w:rsidRPr="006C4B63">
        <w:t xml:space="preserve">  </w:t>
      </w:r>
      <w:r w:rsidR="00177C57" w:rsidRPr="006C4B63">
        <w:t xml:space="preserve">   </w:t>
      </w:r>
      <w:r w:rsidRPr="006C4B63">
        <w:t>Contact number: 010-67095110</w:t>
      </w:r>
    </w:p>
    <w:p w14:paraId="30F69AAE" w14:textId="516F5F3E" w:rsidR="00ED0BFD" w:rsidRPr="006C4B63" w:rsidRDefault="00ED0BFD" w:rsidP="002B1D21">
      <w:pPr>
        <w:pStyle w:val="A-"/>
        <w:spacing w:after="120"/>
        <w:rPr>
          <w:szCs w:val="24"/>
        </w:rPr>
      </w:pPr>
    </w:p>
    <w:sectPr w:rsidR="00ED0BFD" w:rsidRPr="006C4B63" w:rsidSect="00947929">
      <w:endnotePr>
        <w:numFmt w:val="decimal"/>
      </w:endnotePr>
      <w:type w:val="continuous"/>
      <w:pgSz w:w="11906" w:h="16838" w:code="9"/>
      <w:pgMar w:top="1134" w:right="1134" w:bottom="1134" w:left="1418" w:header="56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D5F88" w14:textId="77777777" w:rsidR="006E7809" w:rsidRDefault="006E7809">
      <w:r>
        <w:separator/>
      </w:r>
    </w:p>
  </w:endnote>
  <w:endnote w:type="continuationSeparator" w:id="0">
    <w:p w14:paraId="1A772152" w14:textId="77777777" w:rsidR="006E7809" w:rsidRDefault="006E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86450" w14:textId="77777777" w:rsidR="002622B9" w:rsidRDefault="002622B9">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96BC9" w14:textId="474E3E6A" w:rsidR="00ED0BFD" w:rsidRPr="002B1D21" w:rsidRDefault="00A90BF8" w:rsidP="002B1D21">
    <w:pPr>
      <w:pStyle w:val="ad"/>
      <w:jc w:val="center"/>
    </w:pPr>
    <w:r w:rsidRPr="002B1D21">
      <w:rPr>
        <w:rFonts w:eastAsia="华文仿宋"/>
      </w:rPr>
      <w:fldChar w:fldCharType="begin"/>
    </w:r>
    <w:r w:rsidRPr="002B1D21">
      <w:rPr>
        <w:rFonts w:eastAsia="华文仿宋"/>
      </w:rPr>
      <w:instrText xml:space="preserve"> PAGE   \* MERGEFORMAT </w:instrText>
    </w:r>
    <w:r w:rsidRPr="002B1D21">
      <w:rPr>
        <w:rFonts w:eastAsia="华文仿宋"/>
      </w:rPr>
      <w:fldChar w:fldCharType="separate"/>
    </w:r>
    <w:r w:rsidR="002622B9">
      <w:rPr>
        <w:rFonts w:eastAsia="华文仿宋"/>
        <w:noProof/>
      </w:rPr>
      <w:t>1</w:t>
    </w:r>
    <w:r w:rsidRPr="002B1D21">
      <w:rPr>
        <w:rFonts w:eastAsia="华文仿宋"/>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F5DA" w14:textId="77777777" w:rsidR="002622B9" w:rsidRDefault="002622B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648D0" w14:textId="77777777" w:rsidR="006E7809" w:rsidRDefault="006E7809">
      <w:r>
        <w:separator/>
      </w:r>
    </w:p>
  </w:footnote>
  <w:footnote w:type="continuationSeparator" w:id="0">
    <w:p w14:paraId="5E1D1466" w14:textId="77777777" w:rsidR="006E7809" w:rsidRDefault="006E7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81FD3" w14:textId="4C6030A1" w:rsidR="002622B9" w:rsidRDefault="002622B9">
    <w:pPr>
      <w:pStyle w:val="af"/>
    </w:pPr>
    <w:r>
      <w:rPr>
        <w:noProof/>
      </w:rPr>
      <w:pict w14:anchorId="1C0A2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3040" o:spid="_x0000_s2050" type="#_x0000_t136" style="position:absolute;left:0;text-align:left;margin-left:0;margin-top:0;width:494.55pt;height:164.85pt;rotation:315;z-index:-251655168;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D190" w14:textId="0A456E43" w:rsidR="00ED0BFD" w:rsidRPr="00EA4C4E" w:rsidRDefault="002622B9" w:rsidP="002B1D21">
    <w:pPr>
      <w:pStyle w:val="af"/>
      <w:pBdr>
        <w:bottom w:val="single" w:sz="4" w:space="1" w:color="auto"/>
      </w:pBdr>
      <w:tabs>
        <w:tab w:val="clear" w:pos="4153"/>
        <w:tab w:val="clear" w:pos="8306"/>
        <w:tab w:val="center" w:pos="3993"/>
        <w:tab w:val="right" w:pos="7987"/>
      </w:tabs>
      <w:jc w:val="right"/>
    </w:pPr>
    <w:r>
      <w:rPr>
        <w:noProof/>
      </w:rPr>
      <w:pict w14:anchorId="63E95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3041" o:spid="_x0000_s2051" type="#_x0000_t136" style="position:absolute;left:0;text-align:left;margin-left:0;margin-top:0;width:494.55pt;height:164.85pt;rotation:315;z-index:-251653120;mso-position-horizontal:center;mso-position-horizontal-relative:margin;mso-position-vertical:center;mso-position-vertical-relative:margin" o:allowincell="f" fillcolor="silver" stroked="f">
          <v:fill opacity=".5"/>
          <v:textpath style="font-family:&quot;宋体&quot;;font-size:1pt" string="公示稿"/>
        </v:shape>
      </w:pict>
    </w:r>
    <w:r w:rsidR="0029798D" w:rsidRPr="00EA4C4E">
      <w:t>202</w:t>
    </w:r>
    <w:r w:rsidR="00EA4C4E" w:rsidRPr="00EA4C4E">
      <w:t>4</w:t>
    </w:r>
    <w:r>
      <w:t>02</w:t>
    </w:r>
    <w:r w:rsidR="0029798D" w:rsidRPr="00EA4C4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7544E" w14:textId="42867BA6" w:rsidR="002622B9" w:rsidRDefault="002622B9">
    <w:pPr>
      <w:pStyle w:val="af"/>
    </w:pPr>
    <w:r>
      <w:rPr>
        <w:noProof/>
      </w:rPr>
      <w:pict w14:anchorId="1D78E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3039" o:spid="_x0000_s2049" type="#_x0000_t136" style="position:absolute;left:0;text-align:left;margin-left:0;margin-top:0;width:494.55pt;height:164.85pt;rotation:315;z-index:-251657216;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29A63D"/>
    <w:multiLevelType w:val="singleLevel"/>
    <w:tmpl w:val="F029A63D"/>
    <w:lvl w:ilvl="0">
      <w:start w:val="2"/>
      <w:numFmt w:val="decimal"/>
      <w:suff w:val="space"/>
      <w:lvlText w:val="%1."/>
      <w:lvlJc w:val="left"/>
    </w:lvl>
  </w:abstractNum>
  <w:abstractNum w:abstractNumId="1" w15:restartNumberingAfterBreak="0">
    <w:nsid w:val="08D33027"/>
    <w:multiLevelType w:val="singleLevel"/>
    <w:tmpl w:val="08D33027"/>
    <w:lvl w:ilvl="0">
      <w:start w:val="1"/>
      <w:numFmt w:val="decimal"/>
      <w:lvlText w:val="%1."/>
      <w:lvlJc w:val="left"/>
      <w:pPr>
        <w:tabs>
          <w:tab w:val="left" w:pos="312"/>
        </w:tabs>
      </w:pPr>
    </w:lvl>
  </w:abstractNum>
  <w:abstractNum w:abstractNumId="2" w15:restartNumberingAfterBreak="0">
    <w:nsid w:val="153B345C"/>
    <w:multiLevelType w:val="hybridMultilevel"/>
    <w:tmpl w:val="D6F04654"/>
    <w:lvl w:ilvl="0" w:tplc="81004EEE">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6C376D"/>
    <w:multiLevelType w:val="hybridMultilevel"/>
    <w:tmpl w:val="AFC24464"/>
    <w:lvl w:ilvl="0" w:tplc="E306D8A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4642F12"/>
    <w:multiLevelType w:val="hybridMultilevel"/>
    <w:tmpl w:val="EC10B418"/>
    <w:lvl w:ilvl="0" w:tplc="E2324C7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zh-CN" w:vendorID="64" w:dllVersion="131077" w:nlCheck="1" w:checkStyle="1"/>
  <w:defaultTabStop w:val="21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2"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jQ5MWQ4YWVjODlhOWQyMTIzMzRlOWM2MzIzZjUifQ=="/>
    <w:docVar w:name="KSO_WPS_MARK_KEY" w:val="20870070-0c26-4a66-8248-b4defe6a794f"/>
  </w:docVars>
  <w:rsids>
    <w:rsidRoot w:val="00A4732B"/>
    <w:rsid w:val="00004437"/>
    <w:rsid w:val="000063E4"/>
    <w:rsid w:val="00012A9D"/>
    <w:rsid w:val="00015814"/>
    <w:rsid w:val="000175A6"/>
    <w:rsid w:val="00021A46"/>
    <w:rsid w:val="0002482F"/>
    <w:rsid w:val="00044833"/>
    <w:rsid w:val="00050ABA"/>
    <w:rsid w:val="0005156E"/>
    <w:rsid w:val="00051A1A"/>
    <w:rsid w:val="00051B62"/>
    <w:rsid w:val="000529DC"/>
    <w:rsid w:val="000601A8"/>
    <w:rsid w:val="000702A8"/>
    <w:rsid w:val="000775AE"/>
    <w:rsid w:val="00084FD5"/>
    <w:rsid w:val="00097240"/>
    <w:rsid w:val="000A3B4E"/>
    <w:rsid w:val="000A4652"/>
    <w:rsid w:val="000B0C57"/>
    <w:rsid w:val="000B1B40"/>
    <w:rsid w:val="000B4C1A"/>
    <w:rsid w:val="000B6C95"/>
    <w:rsid w:val="000C0D2E"/>
    <w:rsid w:val="000C5051"/>
    <w:rsid w:val="000C5DB3"/>
    <w:rsid w:val="000D66F9"/>
    <w:rsid w:val="000E5C87"/>
    <w:rsid w:val="000F14A5"/>
    <w:rsid w:val="00101F14"/>
    <w:rsid w:val="00112744"/>
    <w:rsid w:val="00125A86"/>
    <w:rsid w:val="00130CCE"/>
    <w:rsid w:val="00132E56"/>
    <w:rsid w:val="00143604"/>
    <w:rsid w:val="00144004"/>
    <w:rsid w:val="001469BE"/>
    <w:rsid w:val="00150921"/>
    <w:rsid w:val="00152252"/>
    <w:rsid w:val="00155B91"/>
    <w:rsid w:val="001577A8"/>
    <w:rsid w:val="001604E6"/>
    <w:rsid w:val="00164A7F"/>
    <w:rsid w:val="001705F3"/>
    <w:rsid w:val="001757CE"/>
    <w:rsid w:val="00177C57"/>
    <w:rsid w:val="00181905"/>
    <w:rsid w:val="00182D0C"/>
    <w:rsid w:val="00193EAF"/>
    <w:rsid w:val="001A5EBE"/>
    <w:rsid w:val="001B2A81"/>
    <w:rsid w:val="001B4C3E"/>
    <w:rsid w:val="001C3B74"/>
    <w:rsid w:val="001C4366"/>
    <w:rsid w:val="001D5B59"/>
    <w:rsid w:val="001E36B7"/>
    <w:rsid w:val="001E3FB8"/>
    <w:rsid w:val="001E43CF"/>
    <w:rsid w:val="001F2CAA"/>
    <w:rsid w:val="001F5BCF"/>
    <w:rsid w:val="00206B5E"/>
    <w:rsid w:val="00206DCF"/>
    <w:rsid w:val="00211684"/>
    <w:rsid w:val="00212AF6"/>
    <w:rsid w:val="00220676"/>
    <w:rsid w:val="00222754"/>
    <w:rsid w:val="00227ECE"/>
    <w:rsid w:val="00241207"/>
    <w:rsid w:val="00242D6A"/>
    <w:rsid w:val="002442DF"/>
    <w:rsid w:val="00245C5C"/>
    <w:rsid w:val="00245D42"/>
    <w:rsid w:val="00255443"/>
    <w:rsid w:val="00255EFE"/>
    <w:rsid w:val="002622B9"/>
    <w:rsid w:val="00266913"/>
    <w:rsid w:val="00271C40"/>
    <w:rsid w:val="002744AB"/>
    <w:rsid w:val="00276022"/>
    <w:rsid w:val="0028026C"/>
    <w:rsid w:val="00282C1C"/>
    <w:rsid w:val="00285E24"/>
    <w:rsid w:val="0029798D"/>
    <w:rsid w:val="002A3ADF"/>
    <w:rsid w:val="002A5F4B"/>
    <w:rsid w:val="002B1D21"/>
    <w:rsid w:val="002B7535"/>
    <w:rsid w:val="002C465B"/>
    <w:rsid w:val="002D06AF"/>
    <w:rsid w:val="002D5037"/>
    <w:rsid w:val="002D76DF"/>
    <w:rsid w:val="0030548B"/>
    <w:rsid w:val="00305F45"/>
    <w:rsid w:val="00307D05"/>
    <w:rsid w:val="00315205"/>
    <w:rsid w:val="00317372"/>
    <w:rsid w:val="003319C7"/>
    <w:rsid w:val="0033758F"/>
    <w:rsid w:val="003522DE"/>
    <w:rsid w:val="00354461"/>
    <w:rsid w:val="00356A05"/>
    <w:rsid w:val="003627C8"/>
    <w:rsid w:val="00364BAA"/>
    <w:rsid w:val="00376E93"/>
    <w:rsid w:val="003864D2"/>
    <w:rsid w:val="00393FCE"/>
    <w:rsid w:val="00397392"/>
    <w:rsid w:val="003A38F6"/>
    <w:rsid w:val="003B63C3"/>
    <w:rsid w:val="003C6ADB"/>
    <w:rsid w:val="003D1C1D"/>
    <w:rsid w:val="003D284D"/>
    <w:rsid w:val="003D3B73"/>
    <w:rsid w:val="003E055C"/>
    <w:rsid w:val="003E2BD5"/>
    <w:rsid w:val="003E406F"/>
    <w:rsid w:val="003E52D6"/>
    <w:rsid w:val="003F16EF"/>
    <w:rsid w:val="003F1A18"/>
    <w:rsid w:val="003F46E1"/>
    <w:rsid w:val="004030FC"/>
    <w:rsid w:val="00403FD5"/>
    <w:rsid w:val="00405357"/>
    <w:rsid w:val="0041038B"/>
    <w:rsid w:val="00415500"/>
    <w:rsid w:val="00421238"/>
    <w:rsid w:val="00423160"/>
    <w:rsid w:val="0043287B"/>
    <w:rsid w:val="004354AB"/>
    <w:rsid w:val="00435604"/>
    <w:rsid w:val="00443A40"/>
    <w:rsid w:val="004456E7"/>
    <w:rsid w:val="00447DD1"/>
    <w:rsid w:val="00453861"/>
    <w:rsid w:val="004542D8"/>
    <w:rsid w:val="00454ECE"/>
    <w:rsid w:val="00466DA0"/>
    <w:rsid w:val="00484C8E"/>
    <w:rsid w:val="00485F7E"/>
    <w:rsid w:val="00494805"/>
    <w:rsid w:val="00496E00"/>
    <w:rsid w:val="004A39CC"/>
    <w:rsid w:val="004B4A9B"/>
    <w:rsid w:val="004B552F"/>
    <w:rsid w:val="004B60D3"/>
    <w:rsid w:val="004D1836"/>
    <w:rsid w:val="004D5103"/>
    <w:rsid w:val="004E3EA1"/>
    <w:rsid w:val="004E4D21"/>
    <w:rsid w:val="004E6BDF"/>
    <w:rsid w:val="004E6F87"/>
    <w:rsid w:val="004E748E"/>
    <w:rsid w:val="004F53C9"/>
    <w:rsid w:val="004F7734"/>
    <w:rsid w:val="00507976"/>
    <w:rsid w:val="00527BD2"/>
    <w:rsid w:val="00531461"/>
    <w:rsid w:val="0053211E"/>
    <w:rsid w:val="00533F30"/>
    <w:rsid w:val="00536D43"/>
    <w:rsid w:val="00543BE4"/>
    <w:rsid w:val="00547E3C"/>
    <w:rsid w:val="0055110A"/>
    <w:rsid w:val="00570AF7"/>
    <w:rsid w:val="00577C18"/>
    <w:rsid w:val="00585241"/>
    <w:rsid w:val="0058652D"/>
    <w:rsid w:val="00594421"/>
    <w:rsid w:val="005A2F34"/>
    <w:rsid w:val="005A76B2"/>
    <w:rsid w:val="005B26EA"/>
    <w:rsid w:val="005C036B"/>
    <w:rsid w:val="005C2792"/>
    <w:rsid w:val="005C4A22"/>
    <w:rsid w:val="005D39B6"/>
    <w:rsid w:val="005D6EF7"/>
    <w:rsid w:val="005E3D7C"/>
    <w:rsid w:val="00600262"/>
    <w:rsid w:val="00601671"/>
    <w:rsid w:val="00616C23"/>
    <w:rsid w:val="00617897"/>
    <w:rsid w:val="00621A38"/>
    <w:rsid w:val="00625665"/>
    <w:rsid w:val="00634E3E"/>
    <w:rsid w:val="00640BAD"/>
    <w:rsid w:val="006419A4"/>
    <w:rsid w:val="00642763"/>
    <w:rsid w:val="00642E64"/>
    <w:rsid w:val="006503FB"/>
    <w:rsid w:val="00651417"/>
    <w:rsid w:val="00655DB5"/>
    <w:rsid w:val="006576EF"/>
    <w:rsid w:val="00664C2B"/>
    <w:rsid w:val="0066507A"/>
    <w:rsid w:val="00666690"/>
    <w:rsid w:val="00667EBE"/>
    <w:rsid w:val="00676338"/>
    <w:rsid w:val="006816C9"/>
    <w:rsid w:val="00683A01"/>
    <w:rsid w:val="00683B17"/>
    <w:rsid w:val="0068490A"/>
    <w:rsid w:val="00685D74"/>
    <w:rsid w:val="00690780"/>
    <w:rsid w:val="006A1FAE"/>
    <w:rsid w:val="006A6131"/>
    <w:rsid w:val="006B1F94"/>
    <w:rsid w:val="006C4733"/>
    <w:rsid w:val="006C4B63"/>
    <w:rsid w:val="006C5986"/>
    <w:rsid w:val="006C5A18"/>
    <w:rsid w:val="006C64C9"/>
    <w:rsid w:val="006D476F"/>
    <w:rsid w:val="006E044E"/>
    <w:rsid w:val="006E04E0"/>
    <w:rsid w:val="006E3EBE"/>
    <w:rsid w:val="006E68AE"/>
    <w:rsid w:val="006E7809"/>
    <w:rsid w:val="006F361D"/>
    <w:rsid w:val="00711418"/>
    <w:rsid w:val="00713D8C"/>
    <w:rsid w:val="00713E12"/>
    <w:rsid w:val="00716C7B"/>
    <w:rsid w:val="00724E58"/>
    <w:rsid w:val="0073500A"/>
    <w:rsid w:val="00753E58"/>
    <w:rsid w:val="00756FD6"/>
    <w:rsid w:val="007646F4"/>
    <w:rsid w:val="00764A64"/>
    <w:rsid w:val="00772194"/>
    <w:rsid w:val="00777A89"/>
    <w:rsid w:val="00780F1B"/>
    <w:rsid w:val="007973B4"/>
    <w:rsid w:val="007A16BA"/>
    <w:rsid w:val="007A198F"/>
    <w:rsid w:val="007C1156"/>
    <w:rsid w:val="007C4612"/>
    <w:rsid w:val="007C59DA"/>
    <w:rsid w:val="007C5A4A"/>
    <w:rsid w:val="007D10CC"/>
    <w:rsid w:val="007E10AB"/>
    <w:rsid w:val="007E51C3"/>
    <w:rsid w:val="007F7A8B"/>
    <w:rsid w:val="00800C4E"/>
    <w:rsid w:val="00814C8C"/>
    <w:rsid w:val="00815E3B"/>
    <w:rsid w:val="0081651F"/>
    <w:rsid w:val="008166AD"/>
    <w:rsid w:val="00817D45"/>
    <w:rsid w:val="00817FD3"/>
    <w:rsid w:val="008271D8"/>
    <w:rsid w:val="00832827"/>
    <w:rsid w:val="00847034"/>
    <w:rsid w:val="00847D17"/>
    <w:rsid w:val="00857083"/>
    <w:rsid w:val="00861D79"/>
    <w:rsid w:val="008648D2"/>
    <w:rsid w:val="008744F6"/>
    <w:rsid w:val="00877A0B"/>
    <w:rsid w:val="00885B5E"/>
    <w:rsid w:val="00886928"/>
    <w:rsid w:val="008918FF"/>
    <w:rsid w:val="008A39AC"/>
    <w:rsid w:val="008B3898"/>
    <w:rsid w:val="008B430F"/>
    <w:rsid w:val="008C214D"/>
    <w:rsid w:val="008D0D56"/>
    <w:rsid w:val="008D136A"/>
    <w:rsid w:val="008F6946"/>
    <w:rsid w:val="00901DB1"/>
    <w:rsid w:val="00913A37"/>
    <w:rsid w:val="00914822"/>
    <w:rsid w:val="00923FDC"/>
    <w:rsid w:val="00926647"/>
    <w:rsid w:val="00935FAA"/>
    <w:rsid w:val="00947929"/>
    <w:rsid w:val="00953410"/>
    <w:rsid w:val="00955094"/>
    <w:rsid w:val="00957182"/>
    <w:rsid w:val="00957C42"/>
    <w:rsid w:val="009633A5"/>
    <w:rsid w:val="009726F4"/>
    <w:rsid w:val="009728AA"/>
    <w:rsid w:val="009835A8"/>
    <w:rsid w:val="00984988"/>
    <w:rsid w:val="00985B2F"/>
    <w:rsid w:val="00986B7F"/>
    <w:rsid w:val="00990BAA"/>
    <w:rsid w:val="00995DCE"/>
    <w:rsid w:val="009975F3"/>
    <w:rsid w:val="009A62BB"/>
    <w:rsid w:val="009B20A7"/>
    <w:rsid w:val="009B43DF"/>
    <w:rsid w:val="009C3BD3"/>
    <w:rsid w:val="009C7881"/>
    <w:rsid w:val="009D0A22"/>
    <w:rsid w:val="009D4947"/>
    <w:rsid w:val="009E170D"/>
    <w:rsid w:val="009E5154"/>
    <w:rsid w:val="009E60A5"/>
    <w:rsid w:val="009E7092"/>
    <w:rsid w:val="009E7344"/>
    <w:rsid w:val="009F2B88"/>
    <w:rsid w:val="00A05B38"/>
    <w:rsid w:val="00A06A51"/>
    <w:rsid w:val="00A10BC0"/>
    <w:rsid w:val="00A16B00"/>
    <w:rsid w:val="00A24C40"/>
    <w:rsid w:val="00A3310A"/>
    <w:rsid w:val="00A3442E"/>
    <w:rsid w:val="00A36072"/>
    <w:rsid w:val="00A4732B"/>
    <w:rsid w:val="00A503AE"/>
    <w:rsid w:val="00A544A9"/>
    <w:rsid w:val="00A54F6C"/>
    <w:rsid w:val="00A60754"/>
    <w:rsid w:val="00A62A0B"/>
    <w:rsid w:val="00A7120A"/>
    <w:rsid w:val="00A758FA"/>
    <w:rsid w:val="00A81A8D"/>
    <w:rsid w:val="00A8508C"/>
    <w:rsid w:val="00A90BF8"/>
    <w:rsid w:val="00A94A14"/>
    <w:rsid w:val="00AA0017"/>
    <w:rsid w:val="00AA6575"/>
    <w:rsid w:val="00AB00A4"/>
    <w:rsid w:val="00AC3456"/>
    <w:rsid w:val="00AC60B7"/>
    <w:rsid w:val="00AE4B2E"/>
    <w:rsid w:val="00AE4D72"/>
    <w:rsid w:val="00AF14FA"/>
    <w:rsid w:val="00AF7B27"/>
    <w:rsid w:val="00B00726"/>
    <w:rsid w:val="00B04439"/>
    <w:rsid w:val="00B102D2"/>
    <w:rsid w:val="00B21E9D"/>
    <w:rsid w:val="00B24CB7"/>
    <w:rsid w:val="00B31F2D"/>
    <w:rsid w:val="00B415A7"/>
    <w:rsid w:val="00B47738"/>
    <w:rsid w:val="00B50E2F"/>
    <w:rsid w:val="00B5195E"/>
    <w:rsid w:val="00B55F90"/>
    <w:rsid w:val="00B61F5B"/>
    <w:rsid w:val="00B62F4E"/>
    <w:rsid w:val="00B942E1"/>
    <w:rsid w:val="00B94B78"/>
    <w:rsid w:val="00B97192"/>
    <w:rsid w:val="00BA08A6"/>
    <w:rsid w:val="00BA7B81"/>
    <w:rsid w:val="00BB3F7E"/>
    <w:rsid w:val="00BB48EF"/>
    <w:rsid w:val="00BC0285"/>
    <w:rsid w:val="00BC05A4"/>
    <w:rsid w:val="00BC148E"/>
    <w:rsid w:val="00BC6E19"/>
    <w:rsid w:val="00BD09C2"/>
    <w:rsid w:val="00BD42DF"/>
    <w:rsid w:val="00BD7EBD"/>
    <w:rsid w:val="00BE0BA8"/>
    <w:rsid w:val="00BE3F76"/>
    <w:rsid w:val="00BE6B69"/>
    <w:rsid w:val="00BE7A89"/>
    <w:rsid w:val="00BF49FA"/>
    <w:rsid w:val="00BF772E"/>
    <w:rsid w:val="00C0359B"/>
    <w:rsid w:val="00C12CCE"/>
    <w:rsid w:val="00C21170"/>
    <w:rsid w:val="00C21CE3"/>
    <w:rsid w:val="00C25AFF"/>
    <w:rsid w:val="00C266AC"/>
    <w:rsid w:val="00C30C0C"/>
    <w:rsid w:val="00C32AF3"/>
    <w:rsid w:val="00C346A8"/>
    <w:rsid w:val="00C350F2"/>
    <w:rsid w:val="00C51000"/>
    <w:rsid w:val="00C806D0"/>
    <w:rsid w:val="00C8153B"/>
    <w:rsid w:val="00C8561E"/>
    <w:rsid w:val="00C905A3"/>
    <w:rsid w:val="00C91A9E"/>
    <w:rsid w:val="00C91EA5"/>
    <w:rsid w:val="00C923F3"/>
    <w:rsid w:val="00C932E3"/>
    <w:rsid w:val="00CA36B4"/>
    <w:rsid w:val="00CA6D90"/>
    <w:rsid w:val="00CB3869"/>
    <w:rsid w:val="00CC0E81"/>
    <w:rsid w:val="00CC7C44"/>
    <w:rsid w:val="00CD262C"/>
    <w:rsid w:val="00CD33A2"/>
    <w:rsid w:val="00CE0E95"/>
    <w:rsid w:val="00CE4E23"/>
    <w:rsid w:val="00CE62F1"/>
    <w:rsid w:val="00CF026C"/>
    <w:rsid w:val="00D077E7"/>
    <w:rsid w:val="00D12793"/>
    <w:rsid w:val="00D221D1"/>
    <w:rsid w:val="00D23DBA"/>
    <w:rsid w:val="00D257C3"/>
    <w:rsid w:val="00D30211"/>
    <w:rsid w:val="00D32755"/>
    <w:rsid w:val="00D33D18"/>
    <w:rsid w:val="00D3669B"/>
    <w:rsid w:val="00D42881"/>
    <w:rsid w:val="00D4696C"/>
    <w:rsid w:val="00D5064C"/>
    <w:rsid w:val="00D51259"/>
    <w:rsid w:val="00D6170E"/>
    <w:rsid w:val="00D62862"/>
    <w:rsid w:val="00D81D4B"/>
    <w:rsid w:val="00D84AF0"/>
    <w:rsid w:val="00D9067D"/>
    <w:rsid w:val="00D93AEC"/>
    <w:rsid w:val="00D94CAD"/>
    <w:rsid w:val="00D95CD1"/>
    <w:rsid w:val="00D97F9F"/>
    <w:rsid w:val="00DA0FB8"/>
    <w:rsid w:val="00DC0505"/>
    <w:rsid w:val="00DC1ECE"/>
    <w:rsid w:val="00DD1810"/>
    <w:rsid w:val="00DE0063"/>
    <w:rsid w:val="00DE4EB1"/>
    <w:rsid w:val="00DE5DFC"/>
    <w:rsid w:val="00DE6F7B"/>
    <w:rsid w:val="00DF6694"/>
    <w:rsid w:val="00E035CC"/>
    <w:rsid w:val="00E16B66"/>
    <w:rsid w:val="00E31BF5"/>
    <w:rsid w:val="00E3643B"/>
    <w:rsid w:val="00E420FD"/>
    <w:rsid w:val="00E45298"/>
    <w:rsid w:val="00E45BB7"/>
    <w:rsid w:val="00E46334"/>
    <w:rsid w:val="00E576BA"/>
    <w:rsid w:val="00E64521"/>
    <w:rsid w:val="00E77286"/>
    <w:rsid w:val="00E83CFD"/>
    <w:rsid w:val="00E864E2"/>
    <w:rsid w:val="00E87E35"/>
    <w:rsid w:val="00EA4909"/>
    <w:rsid w:val="00EA4C4E"/>
    <w:rsid w:val="00EA590A"/>
    <w:rsid w:val="00EB4B81"/>
    <w:rsid w:val="00EC0122"/>
    <w:rsid w:val="00EC290F"/>
    <w:rsid w:val="00EC62CE"/>
    <w:rsid w:val="00ED08B2"/>
    <w:rsid w:val="00ED0BFD"/>
    <w:rsid w:val="00ED730B"/>
    <w:rsid w:val="00EE27A9"/>
    <w:rsid w:val="00EE2C32"/>
    <w:rsid w:val="00EE2DBC"/>
    <w:rsid w:val="00EE563F"/>
    <w:rsid w:val="00EF1C71"/>
    <w:rsid w:val="00EF36A5"/>
    <w:rsid w:val="00EF481A"/>
    <w:rsid w:val="00F06313"/>
    <w:rsid w:val="00F16AEB"/>
    <w:rsid w:val="00F24BA7"/>
    <w:rsid w:val="00F26D34"/>
    <w:rsid w:val="00F330D6"/>
    <w:rsid w:val="00F41812"/>
    <w:rsid w:val="00F45E68"/>
    <w:rsid w:val="00F557CB"/>
    <w:rsid w:val="00F63948"/>
    <w:rsid w:val="00F742A0"/>
    <w:rsid w:val="00F87752"/>
    <w:rsid w:val="00F93827"/>
    <w:rsid w:val="00F96010"/>
    <w:rsid w:val="00FA6CD1"/>
    <w:rsid w:val="00FC0659"/>
    <w:rsid w:val="00FC2389"/>
    <w:rsid w:val="00FC45FE"/>
    <w:rsid w:val="00FE7A7A"/>
    <w:rsid w:val="00FF149C"/>
    <w:rsid w:val="0156352C"/>
    <w:rsid w:val="03E96EAA"/>
    <w:rsid w:val="0B49198C"/>
    <w:rsid w:val="0CB33F28"/>
    <w:rsid w:val="0ED32660"/>
    <w:rsid w:val="0F5E1E37"/>
    <w:rsid w:val="13B660AC"/>
    <w:rsid w:val="1CF5254E"/>
    <w:rsid w:val="3F5747AA"/>
    <w:rsid w:val="418A27A2"/>
    <w:rsid w:val="455410FD"/>
    <w:rsid w:val="5116195C"/>
    <w:rsid w:val="55230AEC"/>
    <w:rsid w:val="59FB3DE5"/>
    <w:rsid w:val="63D27965"/>
    <w:rsid w:val="643B19AE"/>
    <w:rsid w:val="67FA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14:docId w14:val="5004AC3D"/>
  <w15:docId w15:val="{EA0DCDCB-BB8A-4AC8-B7DE-61235472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qFormat="1"/>
    <w:lsdException w:name="pag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2">
    <w:name w:val="heading 2"/>
    <w:basedOn w:val="a"/>
    <w:next w:val="a"/>
    <w:link w:val="20"/>
    <w:uiPriority w:val="99"/>
    <w:qFormat/>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rPr>
      <w:kern w:val="0"/>
      <w:sz w:val="20"/>
      <w:szCs w:val="20"/>
    </w:rPr>
  </w:style>
  <w:style w:type="paragraph" w:styleId="a5">
    <w:name w:val="Body Text"/>
    <w:basedOn w:val="a"/>
    <w:link w:val="a6"/>
    <w:uiPriority w:val="99"/>
    <w:semiHidden/>
    <w:qFormat/>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uiPriority w:val="99"/>
    <w:rPr>
      <w:rFonts w:ascii="宋体" w:hAnsi="Courier New" w:cs="宋体"/>
      <w:kern w:val="0"/>
      <w:sz w:val="20"/>
      <w:szCs w:val="20"/>
    </w:rPr>
  </w:style>
  <w:style w:type="paragraph" w:styleId="a9">
    <w:name w:val="endnote text"/>
    <w:basedOn w:val="a"/>
    <w:link w:val="aa"/>
    <w:uiPriority w:val="99"/>
    <w:semiHidden/>
    <w:qFormat/>
    <w:pPr>
      <w:snapToGrid w:val="0"/>
      <w:spacing w:line="360" w:lineRule="auto"/>
      <w:ind w:left="425" w:hanging="425"/>
      <w:jc w:val="left"/>
    </w:pPr>
    <w:rPr>
      <w:kern w:val="0"/>
      <w:sz w:val="20"/>
      <w:szCs w:val="20"/>
    </w:rPr>
  </w:style>
  <w:style w:type="paragraph" w:styleId="ab">
    <w:name w:val="Balloon Text"/>
    <w:basedOn w:val="a"/>
    <w:link w:val="ac"/>
    <w:uiPriority w:val="99"/>
    <w:semiHidden/>
    <w:rPr>
      <w:kern w:val="0"/>
      <w:sz w:val="18"/>
      <w:szCs w:val="18"/>
    </w:rPr>
  </w:style>
  <w:style w:type="paragraph" w:styleId="ad">
    <w:name w:val="footer"/>
    <w:basedOn w:val="a"/>
    <w:link w:val="ae"/>
    <w:uiPriority w:val="99"/>
    <w:unhideWhenUsed/>
    <w:rsid w:val="002B1D21"/>
    <w:pPr>
      <w:tabs>
        <w:tab w:val="center" w:pos="4153"/>
        <w:tab w:val="right" w:pos="8306"/>
      </w:tabs>
      <w:adjustRightInd w:val="0"/>
      <w:snapToGrid w:val="0"/>
    </w:pPr>
    <w:rPr>
      <w:snapToGrid w:val="0"/>
      <w:kern w:val="0"/>
      <w:szCs w:val="18"/>
    </w:rPr>
  </w:style>
  <w:style w:type="paragraph" w:styleId="af">
    <w:name w:val="header"/>
    <w:basedOn w:val="a"/>
    <w:link w:val="af0"/>
    <w:uiPriority w:val="99"/>
    <w:unhideWhenUsed/>
    <w:rsid w:val="002B1D21"/>
    <w:pPr>
      <w:tabs>
        <w:tab w:val="center" w:pos="4153"/>
        <w:tab w:val="right" w:pos="8306"/>
      </w:tabs>
      <w:adjustRightInd w:val="0"/>
      <w:snapToGrid w:val="0"/>
    </w:pPr>
    <w:rPr>
      <w:snapToGrid w:val="0"/>
      <w:kern w:val="0"/>
      <w:szCs w:val="18"/>
    </w:rPr>
  </w:style>
  <w:style w:type="paragraph" w:styleId="af1">
    <w:name w:val="annotation subject"/>
    <w:basedOn w:val="a3"/>
    <w:next w:val="a3"/>
    <w:link w:val="af2"/>
    <w:uiPriority w:val="99"/>
    <w:semiHidden/>
    <w:rPr>
      <w:b/>
      <w:bCs/>
    </w:rPr>
  </w:style>
  <w:style w:type="table" w:styleId="af3">
    <w:name w:val="Table Grid"/>
    <w:basedOn w:val="a1"/>
    <w:uiPriority w:val="99"/>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uiPriority w:val="99"/>
    <w:semiHidden/>
    <w:qFormat/>
    <w:rPr>
      <w:vertAlign w:val="superscript"/>
    </w:rPr>
  </w:style>
  <w:style w:type="character" w:styleId="af5">
    <w:name w:val="line number"/>
    <w:basedOn w:val="a0"/>
    <w:uiPriority w:val="99"/>
    <w:semiHidden/>
    <w:unhideWhenUsed/>
    <w:qFormat/>
  </w:style>
  <w:style w:type="character" w:styleId="af6">
    <w:name w:val="annotation reference"/>
    <w:uiPriority w:val="99"/>
    <w:semiHidden/>
    <w:rPr>
      <w:sz w:val="21"/>
      <w:szCs w:val="21"/>
    </w:rPr>
  </w:style>
  <w:style w:type="character" w:customStyle="1" w:styleId="20">
    <w:name w:val="标题 2 字符"/>
    <w:link w:val="2"/>
    <w:uiPriority w:val="99"/>
    <w:semiHidden/>
    <w:locked/>
    <w:rPr>
      <w:rFonts w:ascii="Calibri Light" w:eastAsia="宋体" w:hAnsi="Calibri Light" w:cs="Calibri Light"/>
      <w:b/>
      <w:bCs/>
      <w:sz w:val="32"/>
      <w:szCs w:val="32"/>
    </w:rPr>
  </w:style>
  <w:style w:type="character" w:customStyle="1" w:styleId="30">
    <w:name w:val="标题 3 字符"/>
    <w:link w:val="3"/>
    <w:uiPriority w:val="99"/>
    <w:locked/>
    <w:rPr>
      <w:b/>
      <w:bCs/>
      <w:sz w:val="32"/>
      <w:szCs w:val="32"/>
    </w:rPr>
  </w:style>
  <w:style w:type="character" w:customStyle="1" w:styleId="af0">
    <w:name w:val="页眉 字符"/>
    <w:link w:val="af"/>
    <w:uiPriority w:val="99"/>
    <w:locked/>
    <w:rsid w:val="002B1D21"/>
    <w:rPr>
      <w:snapToGrid w:val="0"/>
      <w:sz w:val="21"/>
      <w:szCs w:val="18"/>
    </w:rPr>
  </w:style>
  <w:style w:type="character" w:customStyle="1" w:styleId="ae">
    <w:name w:val="页脚 字符"/>
    <w:link w:val="ad"/>
    <w:uiPriority w:val="99"/>
    <w:locked/>
    <w:rsid w:val="002B1D21"/>
    <w:rPr>
      <w:snapToGrid w:val="0"/>
      <w:sz w:val="21"/>
      <w:szCs w:val="18"/>
    </w:rPr>
  </w:style>
  <w:style w:type="character" w:customStyle="1" w:styleId="a8">
    <w:name w:val="纯文本 字符"/>
    <w:link w:val="a7"/>
    <w:uiPriority w:val="99"/>
    <w:qFormat/>
    <w:locked/>
    <w:rPr>
      <w:rFonts w:ascii="宋体" w:eastAsia="宋体" w:hAnsi="Courier New" w:cs="宋体"/>
      <w:sz w:val="20"/>
      <w:szCs w:val="20"/>
    </w:rPr>
  </w:style>
  <w:style w:type="character" w:customStyle="1" w:styleId="a4">
    <w:name w:val="批注文字 字符"/>
    <w:link w:val="a3"/>
    <w:uiPriority w:val="99"/>
    <w:qFormat/>
    <w:locked/>
    <w:rPr>
      <w:rFonts w:ascii="Times New Roman" w:eastAsia="宋体" w:hAnsi="Times New Roman" w:cs="Times New Roman"/>
      <w:sz w:val="20"/>
      <w:szCs w:val="20"/>
    </w:rPr>
  </w:style>
  <w:style w:type="character" w:customStyle="1" w:styleId="ac">
    <w:name w:val="批注框文本 字符"/>
    <w:link w:val="ab"/>
    <w:uiPriority w:val="99"/>
    <w:semiHidden/>
    <w:qFormat/>
    <w:locked/>
    <w:rPr>
      <w:rFonts w:ascii="Times New Roman" w:eastAsia="宋体" w:hAnsi="Times New Roman" w:cs="Times New Roman"/>
      <w:sz w:val="18"/>
      <w:szCs w:val="18"/>
    </w:rPr>
  </w:style>
  <w:style w:type="character" w:customStyle="1" w:styleId="af2">
    <w:name w:val="批注主题 字符"/>
    <w:link w:val="af1"/>
    <w:uiPriority w:val="99"/>
    <w:semiHidden/>
    <w:qFormat/>
    <w:locked/>
    <w:rPr>
      <w:rFonts w:ascii="Times New Roman" w:eastAsia="宋体" w:hAnsi="Times New Roman" w:cs="Times New Roman"/>
      <w:b/>
      <w:bCs/>
      <w:sz w:val="20"/>
      <w:szCs w:val="20"/>
    </w:rPr>
  </w:style>
  <w:style w:type="paragraph" w:customStyle="1" w:styleId="1">
    <w:name w:val="修订1"/>
    <w:hidden/>
    <w:uiPriority w:val="99"/>
    <w:semiHidden/>
    <w:rPr>
      <w:kern w:val="2"/>
      <w:sz w:val="21"/>
      <w:szCs w:val="21"/>
    </w:rPr>
  </w:style>
  <w:style w:type="character" w:customStyle="1" w:styleId="aa">
    <w:name w:val="尾注文本 字符"/>
    <w:link w:val="a9"/>
    <w:uiPriority w:val="99"/>
    <w:semiHidden/>
    <w:qFormat/>
    <w:locked/>
    <w:rPr>
      <w:rFonts w:ascii="Times New Roman" w:eastAsia="宋体" w:hAnsi="Times New Roman" w:cs="Times New Roman"/>
      <w:sz w:val="20"/>
      <w:szCs w:val="20"/>
    </w:rPr>
  </w:style>
  <w:style w:type="character" w:customStyle="1" w:styleId="a6">
    <w:name w:val="正文文本 字符"/>
    <w:link w:val="a5"/>
    <w:uiPriority w:val="99"/>
    <w:semiHidden/>
    <w:locked/>
    <w:rPr>
      <w:rFonts w:ascii="Times New Roman" w:eastAsia="宋体" w:hAnsi="Times New Roman" w:cs="Times New Roman"/>
      <w:color w:val="000000"/>
      <w:kern w:val="0"/>
      <w:sz w:val="20"/>
      <w:szCs w:val="20"/>
    </w:rPr>
  </w:style>
  <w:style w:type="paragraph" w:styleId="af7">
    <w:name w:val="List Paragraph"/>
    <w:basedOn w:val="a"/>
    <w:uiPriority w:val="99"/>
    <w:qFormat/>
    <w:pPr>
      <w:spacing w:line="360" w:lineRule="auto"/>
      <w:ind w:left="425" w:firstLineChars="200" w:firstLine="420"/>
    </w:pPr>
    <w:rPr>
      <w:rFonts w:ascii="Calibri" w:hAnsi="Calibri" w:cs="Calibri"/>
    </w:rPr>
  </w:style>
  <w:style w:type="paragraph" w:customStyle="1" w:styleId="10">
    <w:name w:val="列出段落1"/>
    <w:basedOn w:val="a"/>
    <w:uiPriority w:val="99"/>
    <w:qFormat/>
    <w:pPr>
      <w:spacing w:line="360" w:lineRule="auto"/>
      <w:ind w:left="425" w:firstLineChars="200" w:firstLine="420"/>
    </w:pPr>
    <w:rPr>
      <w:rFonts w:ascii="Calibri" w:hAnsi="Calibri" w:cs="Calibri"/>
    </w:rPr>
  </w:style>
  <w:style w:type="character" w:customStyle="1" w:styleId="apple-converted-space">
    <w:name w:val="apple-converted-space"/>
    <w:basedOn w:val="a0"/>
    <w:uiPriority w:val="99"/>
  </w:style>
  <w:style w:type="paragraph" w:customStyle="1" w:styleId="Normal0">
    <w:name w:val="Normal_0"/>
    <w:qFormat/>
    <w:pPr>
      <w:spacing w:before="120" w:after="240"/>
      <w:jc w:val="both"/>
    </w:pPr>
    <w:rPr>
      <w:rFonts w:eastAsia="Times New Roman"/>
      <w:sz w:val="22"/>
      <w:szCs w:val="22"/>
      <w:lang w:eastAsia="en-US"/>
    </w:rPr>
  </w:style>
  <w:style w:type="table" w:customStyle="1" w:styleId="21">
    <w:name w:val="网格型2"/>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a0"/>
    <w:rPr>
      <w:rFonts w:ascii="Calibri" w:hAnsi="Calibri" w:cs="Calibri"/>
      <w:color w:val="000000"/>
      <w:sz w:val="24"/>
      <w:szCs w:val="24"/>
      <w:u w:val="none"/>
    </w:rPr>
  </w:style>
  <w:style w:type="character" w:customStyle="1" w:styleId="font81">
    <w:name w:val="font81"/>
    <w:basedOn w:val="a0"/>
    <w:rPr>
      <w:rFonts w:ascii="Times New Roman" w:hAnsi="Times New Roman" w:cs="Times New Roman" w:hint="default"/>
      <w:color w:val="000000"/>
      <w:sz w:val="24"/>
      <w:szCs w:val="24"/>
      <w:u w:val="none"/>
    </w:rPr>
  </w:style>
  <w:style w:type="character" w:customStyle="1" w:styleId="font71">
    <w:name w:val="font71"/>
    <w:basedOn w:val="a0"/>
    <w:rPr>
      <w:rFonts w:ascii="Calibri" w:hAnsi="Calibri" w:cs="Calibri" w:hint="default"/>
      <w:color w:val="FF0000"/>
      <w:sz w:val="24"/>
      <w:szCs w:val="24"/>
      <w:u w:val="none"/>
    </w:rPr>
  </w:style>
  <w:style w:type="character" w:customStyle="1" w:styleId="font91">
    <w:name w:val="font91"/>
    <w:basedOn w:val="a0"/>
    <w:rPr>
      <w:rFonts w:ascii="Times New Roman" w:hAnsi="Times New Roman" w:cs="Times New Roman" w:hint="default"/>
      <w:color w:val="FF0000"/>
      <w:sz w:val="24"/>
      <w:szCs w:val="24"/>
      <w:u w:val="none"/>
    </w:rPr>
  </w:style>
  <w:style w:type="character" w:customStyle="1" w:styleId="font111">
    <w:name w:val="font111"/>
    <w:basedOn w:val="a0"/>
    <w:rPr>
      <w:rFonts w:ascii="Times New Roman" w:hAnsi="Times New Roman" w:cs="Times New Roman" w:hint="default"/>
      <w:b/>
      <w:bCs/>
      <w:color w:val="000000"/>
      <w:sz w:val="21"/>
      <w:szCs w:val="21"/>
      <w:u w:val="none"/>
    </w:rPr>
  </w:style>
  <w:style w:type="character" w:customStyle="1" w:styleId="font101">
    <w:name w:val="font101"/>
    <w:basedOn w:val="a0"/>
    <w:rPr>
      <w:rFonts w:ascii="宋体" w:eastAsia="宋体" w:hAnsi="宋体" w:cs="宋体" w:hint="eastAsia"/>
      <w:b/>
      <w:bCs/>
      <w:color w:val="000000"/>
      <w:sz w:val="21"/>
      <w:szCs w:val="21"/>
      <w:u w:val="none"/>
    </w:rPr>
  </w:style>
  <w:style w:type="paragraph" w:customStyle="1" w:styleId="A-">
    <w:name w:val="A-正文"/>
    <w:basedOn w:val="a"/>
    <w:qFormat/>
    <w:rsid w:val="002B1D21"/>
    <w:pPr>
      <w:snapToGrid w:val="0"/>
      <w:spacing w:afterLines="50" w:after="50"/>
    </w:pPr>
    <w:rPr>
      <w:snapToGrid w:val="0"/>
      <w:kern w:val="0"/>
      <w:sz w:val="24"/>
      <w:szCs w:val="22"/>
    </w:rPr>
  </w:style>
  <w:style w:type="paragraph" w:customStyle="1" w:styleId="af8">
    <w:name w:val="表目录"/>
    <w:basedOn w:val="af9"/>
    <w:autoRedefine/>
    <w:qFormat/>
    <w:rsid w:val="002B1D21"/>
    <w:pPr>
      <w:snapToGrid w:val="0"/>
      <w:spacing w:afterLines="50" w:after="50"/>
      <w:ind w:leftChars="0" w:left="0" w:hangingChars="400" w:hanging="403"/>
    </w:pPr>
    <w:rPr>
      <w:b/>
      <w:snapToGrid w:val="0"/>
      <w:kern w:val="0"/>
      <w:sz w:val="24"/>
      <w:szCs w:val="22"/>
    </w:rPr>
  </w:style>
  <w:style w:type="paragraph" w:styleId="af9">
    <w:name w:val="table of figures"/>
    <w:basedOn w:val="a"/>
    <w:next w:val="a"/>
    <w:uiPriority w:val="99"/>
    <w:semiHidden/>
    <w:unhideWhenUsed/>
    <w:rsid w:val="002B1D21"/>
    <w:pPr>
      <w:ind w:leftChars="200" w:left="200" w:hangingChars="200" w:hanging="200"/>
    </w:pPr>
  </w:style>
  <w:style w:type="paragraph" w:customStyle="1" w:styleId="afa">
    <w:name w:val="图目录"/>
    <w:basedOn w:val="af9"/>
    <w:qFormat/>
    <w:rsid w:val="002B1D21"/>
    <w:pPr>
      <w:adjustRightInd w:val="0"/>
      <w:snapToGrid w:val="0"/>
      <w:spacing w:afterLines="50" w:after="50"/>
      <w:ind w:leftChars="0" w:left="0" w:hangingChars="400" w:hanging="301"/>
    </w:pPr>
    <w:rPr>
      <w:b/>
      <w:snapToGrid w:val="0"/>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C31603-5B58-4EE5-A06B-0C10AAA1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414</Words>
  <Characters>2366</Characters>
  <Application>Microsoft Office Word</Application>
  <DocSecurity>0</DocSecurity>
  <Lines>19</Lines>
  <Paragraphs>5</Paragraphs>
  <ScaleCrop>false</ScaleCrop>
  <Company>sidc</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陈蕾</cp:lastModifiedBy>
  <cp:revision>53</cp:revision>
  <cp:lastPrinted>2023-01-13T02:57:00Z</cp:lastPrinted>
  <dcterms:created xsi:type="dcterms:W3CDTF">2023-02-22T09:42:00Z</dcterms:created>
  <dcterms:modified xsi:type="dcterms:W3CDTF">2024-01-30T09:49:00Z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8B9556DBB2C94241A7A435B9C2CBD1BF</vt:lpwstr>
  </property>
  <property fmtid="{D5CDD505-2E9C-101B-9397-08002B2CF9AE}" pid="4" name="GrammarlyDocumentId">
    <vt:lpwstr>7f8933f1fa8ad2a30e26733f81c9cf231690220874539eec36521860287bdcef</vt:lpwstr>
  </property>
</Properties>
</file>